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30"/>
        </w:rPr>
      </w:pPr>
      <w:bookmarkStart w:id="0" w:name="FirstLawyer"/>
      <w:bookmarkEnd w:id="0"/>
      <w:r>
        <w:rPr>
          <w:sz w:val="30"/>
          <w:sz w:val="30"/>
          <w:szCs w:val="34"/>
          <w:rtl w:val="true"/>
        </w:rPr>
        <w:t>בתי</w:t>
      </w:r>
      <w:r>
        <w:rPr>
          <w:rFonts w:cs="Times New Roman"/>
          <w:sz w:val="30"/>
          <w:sz w:val="30"/>
          <w:szCs w:val="34"/>
          <w:rtl w:val="true"/>
        </w:rPr>
        <w:t xml:space="preserve"> </w:t>
      </w:r>
      <w:r>
        <w:rPr>
          <w:sz w:val="30"/>
          <w:sz w:val="30"/>
          <w:szCs w:val="34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30"/>
                <w:sz w:val="30"/>
                <w:rtl w:val="true"/>
              </w:rPr>
              <w:t>בבית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המשפט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המחוזי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000252/03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bookmarkStart w:id="1" w:name="LastJudge"/>
            <w:bookmarkEnd w:id="1"/>
            <w:r>
              <w:rPr>
                <w:sz w:val="30"/>
                <w:sz w:val="30"/>
                <w:rtl w:val="true"/>
              </w:rPr>
              <w:t>לפני</w:t>
            </w:r>
            <w:r>
              <w:rPr>
                <w:sz w:val="30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 xml:space="preserve">- </w:t>
            </w:r>
            <w:r>
              <w:rPr>
                <w:sz w:val="22"/>
                <w:sz w:val="22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22/03/2004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30"/>
                <w:sz w:val="30"/>
                <w:rtl w:val="true"/>
              </w:rPr>
              <w:t>בעניין</w:t>
            </w:r>
            <w:r>
              <w:rPr>
                <w:sz w:val="30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 w:val="false"/>
                <w:bCs w:val="false"/>
                <w:sz w:val="30"/>
                <w:sz w:val="30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Cs w:val="false"/>
                <w:sz w:val="30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 </w:t>
            </w:r>
            <w:r>
              <w:rPr>
                <w:sz w:val="30"/>
                <w:sz w:val="30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 </w:t>
            </w:r>
            <w:r>
              <w:rPr>
                <w:sz w:val="30"/>
                <w:sz w:val="30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ראסם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בן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עזיז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חליל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ת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ז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 w:val="false"/>
                <w:bCs w:val="false"/>
                <w:sz w:val="30"/>
                <w:sz w:val="30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למאשימה</w:t>
            </w:r>
            <w:r>
              <w:rPr>
                <w:sz w:val="30"/>
                <w:rtl w:val="true"/>
              </w:rPr>
              <w:t xml:space="preserve">: </w:t>
            </w:r>
            <w:r>
              <w:rPr>
                <w:sz w:val="30"/>
                <w:sz w:val="30"/>
                <w:rtl w:val="true"/>
              </w:rPr>
              <w:t>עו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פליקס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גלפרין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לנאשם</w:t>
            </w:r>
            <w:r>
              <w:rPr>
                <w:sz w:val="30"/>
                <w:rtl w:val="true"/>
              </w:rPr>
              <w:t xml:space="preserve">: </w:t>
            </w:r>
            <w:r>
              <w:rPr>
                <w:sz w:val="30"/>
                <w:sz w:val="30"/>
                <w:rtl w:val="true"/>
              </w:rPr>
              <w:t>עו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וסים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דראושה</w:t>
            </w:r>
            <w:r>
              <w:rPr>
                <w:sz w:val="30"/>
                <w:rtl w:val="true"/>
              </w:rPr>
              <w:t xml:space="preserve">, </w:t>
            </w:r>
            <w:r>
              <w:rPr>
                <w:sz w:val="30"/>
                <w:sz w:val="30"/>
                <w:rtl w:val="true"/>
              </w:rPr>
              <w:t>מטעם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הסניגוריה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הציבורית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המחוזית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24"/>
        </w:rPr>
      </w:pPr>
      <w:r>
        <w:rPr>
          <w:rFonts w:cs="FrankRuehl" w:ascii="FrankRuehl" w:hAnsi="FrankRuehl"/>
          <w:sz w:val="30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275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30"/>
          <w:szCs w:val="24"/>
        </w:rPr>
      </w:pPr>
      <w:r>
        <w:rPr>
          <w:rFonts w:cs="FrankRuehl" w:ascii="FrankRuehl" w:hAnsi="FrankRuehl"/>
          <w:sz w:val="30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center"/>
        <w:rPr>
          <w:bCs/>
          <w:sz w:val="34"/>
          <w:szCs w:val="34"/>
          <w:u w:val="single"/>
        </w:rPr>
      </w:pPr>
      <w:bookmarkStart w:id="10" w:name="FirstLawyer"/>
      <w:bookmarkStart w:id="11" w:name="PsakDin"/>
      <w:bookmarkStart w:id="12" w:name="סוג_מסמך"/>
      <w:bookmarkEnd w:id="10"/>
      <w:bookmarkEnd w:id="11"/>
      <w:bookmarkEnd w:id="12"/>
      <w:r>
        <w:rPr>
          <w:bCs/>
          <w:sz w:val="34"/>
          <w:sz w:val="34"/>
          <w:szCs w:val="34"/>
          <w:u w:val="single"/>
          <w:rtl w:val="true"/>
        </w:rPr>
        <w:t>גזר</w:t>
      </w:r>
      <w:r>
        <w:rPr>
          <w:rFonts w:cs="Times New Roman"/>
          <w:bCs/>
          <w:sz w:val="34"/>
          <w:sz w:val="34"/>
          <w:szCs w:val="34"/>
          <w:u w:val="single"/>
          <w:rtl w:val="true"/>
        </w:rPr>
        <w:t xml:space="preserve"> </w:t>
      </w:r>
      <w:r>
        <w:rPr>
          <w:bCs/>
          <w:sz w:val="34"/>
          <w:sz w:val="34"/>
          <w:szCs w:val="34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3" w:name="PsakDin"/>
      <w:bookmarkEnd w:id="13"/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1962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5" w:name="ABSTRACT_END"/>
      <w:bookmarkEnd w:id="15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22.1.1997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הנגיד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תופי</w:t>
      </w:r>
      <w:r>
        <w:rPr>
          <w:rtl w:val="true"/>
        </w:rPr>
        <w:t xml:space="preserve">"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911099</w:t>
      </w:r>
      <w:r>
        <w:rPr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גליצנשטיין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</w:t>
      </w:r>
      <w:r>
        <w:rPr>
          <w:rtl w:val="true"/>
        </w:rPr>
        <w:t xml:space="preserve">,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 -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גלפרין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: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גלפרין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גלפרין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בהקפדת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גלפרין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דראושה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וספונטנית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;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;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;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; </w:t>
      </w:r>
      <w:r>
        <w:rPr>
          <w:rtl w:val="true"/>
        </w:rPr>
        <w:t>כשנעצר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משהופתע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tl w:val="true"/>
        </w:rPr>
        <w:t xml:space="preserve">,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4.12.2003</w:t>
      </w:r>
      <w:r>
        <w:rPr>
          <w:rtl w:val="true"/>
        </w:rPr>
        <w:t xml:space="preserve">, </w:t>
      </w:r>
      <w:r>
        <w:rPr>
          <w:rtl w:val="true"/>
        </w:rPr>
        <w:t>וששה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, </w:t>
      </w:r>
      <w:hyperlink r:id="rId14">
        <w:r>
          <w:rPr>
            <w:rStyle w:val="Hyperlink"/>
          </w:rPr>
          <w:t>275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במרץ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המתייצבים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pacing w:val="20"/>
                <w:sz w:val="28"/>
              </w:rPr>
            </w:pPr>
            <w:r>
              <w:rPr>
                <w:spacing w:val="20"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pacing w:val="20"/>
                <w:sz w:val="28"/>
                <w:sz w:val="28"/>
                <w:rtl w:val="true"/>
              </w:rPr>
              <w:t xml:space="preserve"> </w:t>
            </w:r>
            <w:r>
              <w:rPr>
                <w:spacing w:val="20"/>
                <w:sz w:val="28"/>
                <w:sz w:val="28"/>
                <w:rtl w:val="true"/>
              </w:rPr>
              <w:t>צמח</w:t>
            </w:r>
            <w:r>
              <w:rPr>
                <w:spacing w:val="20"/>
                <w:sz w:val="28"/>
                <w:rtl w:val="true"/>
              </w:rPr>
              <w:t xml:space="preserve">, </w:t>
            </w:r>
            <w:r>
              <w:rPr>
                <w:spacing w:val="20"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/Users/liorb/Downloads/study2025-p2/m03000252-15.doc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252/03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עזיז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83.c.1.d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383.c.1.d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2017-05-08T09:38:00Z</dcterms:created>
  <dc:creator> </dc:creator>
  <dc:description/>
  <cp:keywords/>
  <dc:language>en-IL</dc:language>
  <cp:lastModifiedBy>miri</cp:lastModifiedBy>
  <cp:lastPrinted>2004-03-22T13:41:00Z</cp:lastPrinted>
  <dcterms:modified xsi:type="dcterms:W3CDTF">2017-05-08T09:38:00Z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ראסם בן עזיז חליל</vt:lpwstr>
  </property>
  <property fmtid="{D5CDD505-2E9C-101B-9397-08002B2CF9AE}" pid="4" name="CITY">
    <vt:lpwstr>י-ם</vt:lpwstr>
  </property>
  <property fmtid="{D5CDD505-2E9C-101B-9397-08002B2CF9AE}" pid="5" name="DATE">
    <vt:lpwstr>20040322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LISTTMP1">
    <vt:lpwstr>70301/383.c.1.d;384:2;144.a;275:2;144</vt:lpwstr>
  </property>
  <property fmtid="{D5CDD505-2E9C-101B-9397-08002B2CF9AE}" pid="9" name="LAWYER">
    <vt:lpwstr>וסים דראושה;פליקס גלפרין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252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