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center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ind w:end="0"/>
        <w:jc w:val="center"/>
        <w:rPr>
          <w:sz w:val="30"/>
        </w:rPr>
      </w:pPr>
      <w:r>
        <w:rPr>
          <w:sz w:val="30"/>
          <w:sz w:val="30"/>
          <w:szCs w:val="34"/>
          <w:rtl w:val="true"/>
        </w:rPr>
        <w:t>בתי</w:t>
      </w:r>
      <w:r>
        <w:rPr>
          <w:rFonts w:cs="Times New Roman"/>
          <w:sz w:val="30"/>
          <w:sz w:val="30"/>
          <w:szCs w:val="34"/>
          <w:rtl w:val="true"/>
        </w:rPr>
        <w:t xml:space="preserve"> </w:t>
      </w:r>
      <w:r>
        <w:rPr>
          <w:sz w:val="30"/>
          <w:sz w:val="30"/>
          <w:szCs w:val="34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2"/>
        <w:gridCol w:w="849"/>
        <w:gridCol w:w="4815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4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000446/04</w:t>
            </w:r>
          </w:p>
        </w:tc>
        <w:tc>
          <w:tcPr>
            <w:tcW w:w="558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30"/>
                <w:sz w:val="30"/>
                <w:rtl w:val="true"/>
              </w:rPr>
              <w:t>בית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המשפט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המחוזי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בירושלים</w:t>
            </w:r>
          </w:p>
        </w:tc>
      </w:tr>
      <w:tr>
        <w:trPr>
          <w:trHeight w:val="195" w:hRule="atLeast"/>
        </w:trPr>
        <w:tc>
          <w:tcPr>
            <w:tcW w:w="294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rtl w:val="true"/>
              </w:rPr>
            </w:r>
          </w:p>
        </w:tc>
        <w:tc>
          <w:tcPr>
            <w:tcW w:w="558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6" w:hRule="atLeast"/>
        </w:trPr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rFonts w:cs="Times New Roman"/>
                <w:sz w:val="30"/>
                <w:rtl w:val="true"/>
              </w:rPr>
              <w:t xml:space="preserve"> </w:t>
            </w:r>
          </w:p>
        </w:tc>
        <w:tc>
          <w:tcPr>
            <w:tcW w:w="4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 xml:space="preserve">- </w:t>
            </w:r>
            <w:r>
              <w:rPr>
                <w:sz w:val="22"/>
                <w:sz w:val="22"/>
                <w:rtl w:val="true"/>
              </w:rPr>
              <w:t>נשיא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2"/>
              </w:rPr>
            </w:pPr>
            <w:r>
              <w:rPr>
                <w:sz w:val="30"/>
                <w:sz w:val="30"/>
                <w:rtl w:val="true"/>
              </w:rPr>
              <w:t>לפני</w:t>
            </w:r>
            <w:r>
              <w:rPr>
                <w:sz w:val="30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p>
      <w:pPr>
        <w:pStyle w:val="Header"/>
        <w:ind w:end="0"/>
        <w:jc w:val="start"/>
        <w:rPr>
          <w:sz w:val="26"/>
          <w:szCs w:val="22"/>
        </w:rPr>
      </w:pPr>
      <w:r>
        <w:rPr>
          <w:sz w:val="26"/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30"/>
          <w:szCs w:val="22"/>
        </w:rPr>
      </w:pPr>
      <w:r>
        <w:rPr>
          <w:sz w:val="30"/>
          <w:szCs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בעניין</w:t>
            </w:r>
            <w:r>
              <w:rPr>
                <w:sz w:val="30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 w:val="false"/>
                <w:bCs w:val="false"/>
                <w:sz w:val="30"/>
                <w:sz w:val="30"/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Cs w:val="false"/>
                <w:sz w:val="30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sz w:val="30"/>
                <w:szCs w:val="20"/>
              </w:rPr>
            </w:pPr>
            <w:r>
              <w:rPr>
                <w:rFonts w:cs="Times New Roman"/>
                <w:sz w:val="30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 </w:t>
            </w:r>
            <w:r>
              <w:rPr>
                <w:sz w:val="30"/>
                <w:sz w:val="30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 </w:t>
            </w:r>
            <w:r>
              <w:rPr>
                <w:sz w:val="30"/>
                <w:sz w:val="30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sz w:val="30"/>
                <w:szCs w:val="20"/>
              </w:rPr>
            </w:pPr>
            <w:r>
              <w:rPr>
                <w:rFonts w:cs="Times New Roman"/>
                <w:sz w:val="30"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עבאסי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מוחמד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ת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ז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</w:rPr>
              <w:t>21839071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 w:val="false"/>
                <w:bCs w:val="false"/>
                <w:sz w:val="30"/>
                <w:sz w:val="30"/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30"/>
                <w:u w:val="none"/>
              </w:rPr>
            </w:pPr>
            <w:r>
              <w:rPr>
                <w:b w:val="false"/>
                <w:bCs w:val="false"/>
                <w:sz w:val="30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למאשימה</w:t>
            </w:r>
            <w:r>
              <w:rPr>
                <w:sz w:val="30"/>
                <w:rtl w:val="true"/>
              </w:rPr>
              <w:t xml:space="preserve">: </w:t>
            </w:r>
            <w:r>
              <w:rPr>
                <w:sz w:val="30"/>
                <w:sz w:val="30"/>
                <w:rtl w:val="true"/>
              </w:rPr>
              <w:t>עו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גיאת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30"/>
              </w:rPr>
            </w:pPr>
            <w:r>
              <w:rPr>
                <w:sz w:val="30"/>
                <w:sz w:val="30"/>
                <w:rtl w:val="true"/>
              </w:rPr>
              <w:t>לנאשם</w:t>
            </w:r>
            <w:r>
              <w:rPr>
                <w:sz w:val="30"/>
                <w:rtl w:val="true"/>
              </w:rPr>
              <w:t xml:space="preserve">: </w:t>
            </w:r>
            <w:r>
              <w:rPr>
                <w:sz w:val="30"/>
                <w:sz w:val="30"/>
                <w:rtl w:val="true"/>
              </w:rPr>
              <w:t>עו</w:t>
            </w:r>
            <w:r>
              <w:rPr>
                <w:sz w:val="30"/>
                <w:rtl w:val="true"/>
              </w:rPr>
              <w:t>"</w:t>
            </w:r>
            <w:r>
              <w:rPr>
                <w:sz w:val="30"/>
                <w:sz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rtl w:val="true"/>
              </w:rPr>
              <w:t xml:space="preserve"> </w:t>
            </w:r>
            <w:r>
              <w:rPr>
                <w:sz w:val="30"/>
                <w:sz w:val="30"/>
                <w:rtl w:val="true"/>
              </w:rPr>
              <w:t>פראג</w:t>
            </w:r>
            <w:r>
              <w:rPr>
                <w:sz w:val="30"/>
                <w:rtl w:val="true"/>
              </w:rPr>
              <w:t>'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center"/>
        <w:rPr>
          <w:sz w:val="34"/>
          <w:szCs w:val="34"/>
        </w:rPr>
      </w:pPr>
      <w:r>
        <w:rPr>
          <w:sz w:val="34"/>
          <w:szCs w:val="34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Cs/>
          <w:sz w:val="34"/>
          <w:szCs w:val="34"/>
          <w:u w:val="single"/>
        </w:rPr>
      </w:pPr>
      <w:bookmarkStart w:id="10" w:name="PsakDin"/>
      <w:bookmarkEnd w:id="10"/>
      <w:r>
        <w:rPr>
          <w:bCs/>
          <w:sz w:val="34"/>
          <w:sz w:val="34"/>
          <w:szCs w:val="34"/>
          <w:u w:val="single"/>
          <w:rtl w:val="true"/>
        </w:rPr>
        <w:t>גזר</w:t>
      </w:r>
      <w:r>
        <w:rPr>
          <w:rFonts w:cs="Times New Roman"/>
          <w:bCs/>
          <w:sz w:val="34"/>
          <w:sz w:val="34"/>
          <w:szCs w:val="34"/>
          <w:u w:val="single"/>
          <w:rtl w:val="true"/>
        </w:rPr>
        <w:t xml:space="preserve"> </w:t>
      </w:r>
      <w:r>
        <w:rPr>
          <w:bCs/>
          <w:sz w:val="34"/>
          <w:sz w:val="34"/>
          <w:szCs w:val="3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Cs/>
          <w:sz w:val="34"/>
          <w:szCs w:val="34"/>
          <w:u w:val="single"/>
        </w:rPr>
      </w:pPr>
      <w:r>
        <w:rPr>
          <w:bCs/>
          <w:sz w:val="34"/>
          <w:szCs w:val="3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2.10.2004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10.10.2004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bookmarkStart w:id="14" w:name="ABSTRACT_END"/>
      <w:bookmarkEnd w:id="14"/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פראג</w:t>
      </w:r>
      <w:r>
        <w:rPr>
          <w:rtl w:val="true"/>
        </w:rPr>
        <w:t xml:space="preserve">',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פראג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17.10.2004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hanging="720" w:start="720"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בכסלו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בנובמבר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07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pacing w:val="20"/>
                <w:sz w:val="28"/>
              </w:rPr>
            </w:pPr>
            <w:r>
              <w:rPr>
                <w:spacing w:val="20"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pacing w:val="20"/>
                <w:sz w:val="28"/>
                <w:sz w:val="28"/>
                <w:rtl w:val="true"/>
              </w:rPr>
              <w:t xml:space="preserve"> </w:t>
            </w:r>
            <w:r>
              <w:rPr>
                <w:spacing w:val="20"/>
                <w:sz w:val="28"/>
                <w:sz w:val="28"/>
                <w:rtl w:val="true"/>
              </w:rPr>
              <w:t>צמח</w:t>
            </w:r>
            <w:r>
              <w:rPr>
                <w:spacing w:val="20"/>
                <w:sz w:val="28"/>
                <w:rtl w:val="true"/>
              </w:rPr>
              <w:t xml:space="preserve">, </w:t>
            </w:r>
            <w:r>
              <w:rPr>
                <w:spacing w:val="20"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/Users/liorb/Downloads/study2025-p2/m04000446-853.doc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446/04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עבאסי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2005-03-31T07:26:00Z</dcterms:created>
  <dc:creator> </dc:creator>
  <dc:description/>
  <dc:language>en-IL</dc:language>
  <cp:lastModifiedBy>user</cp:lastModifiedBy>
  <dcterms:modified xsi:type="dcterms:W3CDTF">2005-03-31T09:53:00Z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עבאסי מוחמד</vt:lpwstr>
  </property>
  <property fmtid="{D5CDD505-2E9C-101B-9397-08002B2CF9AE}" pid="4" name="CITY">
    <vt:lpwstr>י-ם</vt:lpwstr>
  </property>
  <property fmtid="{D5CDD505-2E9C-101B-9397-08002B2CF9AE}" pid="5" name="DATE">
    <vt:lpwstr>20041129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YER">
    <vt:lpwstr/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446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