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sz w:val="36"/>
          <w:sz w:val="36"/>
          <w:szCs w:val="34"/>
          <w:rtl w:val="true"/>
        </w:rPr>
        <w:t>בתי</w:t>
      </w:r>
      <w:r>
        <w:rPr>
          <w:rFonts w:cs="Times New Roman"/>
          <w:sz w:val="36"/>
          <w:sz w:val="36"/>
          <w:szCs w:val="34"/>
          <w:rtl w:val="true"/>
        </w:rPr>
        <w:t xml:space="preserve"> </w:t>
      </w:r>
      <w:r>
        <w:rPr>
          <w:sz w:val="36"/>
          <w:sz w:val="36"/>
          <w:szCs w:val="34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30"/>
                <w:sz w:val="30"/>
                <w:rtl w:val="true"/>
              </w:rPr>
              <w:t>בית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המשפט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המחוזי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000455/04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30"/>
                <w:sz w:val="30"/>
                <w:rtl w:val="true"/>
              </w:rPr>
              <w:t>לפני</w:t>
            </w:r>
            <w:r>
              <w:rPr>
                <w:sz w:val="30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צבן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24/02/2005</w:t>
            </w:r>
          </w:p>
        </w:tc>
      </w:tr>
    </w:tbl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בעניין</w:t>
            </w:r>
            <w:r>
              <w:rPr>
                <w:b/>
                <w:bCs/>
                <w:sz w:val="30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30"/>
                <w:szCs w:val="26"/>
              </w:rPr>
            </w:pPr>
            <w:r>
              <w:rPr>
                <w:sz w:val="30"/>
                <w:sz w:val="30"/>
                <w:szCs w:val="26"/>
                <w:rtl w:val="true"/>
              </w:rPr>
              <w:t>ע</w:t>
            </w:r>
            <w:r>
              <w:rPr>
                <w:sz w:val="30"/>
                <w:szCs w:val="26"/>
                <w:rtl w:val="true"/>
              </w:rPr>
              <w:t>"</w:t>
            </w:r>
            <w:r>
              <w:rPr>
                <w:sz w:val="30"/>
                <w:sz w:val="30"/>
                <w:szCs w:val="26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sz w:val="30"/>
                <w:sz w:val="30"/>
                <w:szCs w:val="26"/>
                <w:rtl w:val="true"/>
              </w:rPr>
              <w:t>ב</w:t>
            </w:r>
            <w:r>
              <w:rPr>
                <w:sz w:val="30"/>
                <w:szCs w:val="26"/>
                <w:rtl w:val="true"/>
              </w:rPr>
              <w:t>"</w:t>
            </w:r>
            <w:r>
              <w:rPr>
                <w:sz w:val="30"/>
                <w:sz w:val="30"/>
                <w:szCs w:val="26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sz w:val="30"/>
                <w:sz w:val="30"/>
                <w:szCs w:val="26"/>
                <w:rtl w:val="true"/>
              </w:rPr>
              <w:t>עו</w:t>
            </w:r>
            <w:r>
              <w:rPr>
                <w:sz w:val="30"/>
                <w:szCs w:val="26"/>
                <w:rtl w:val="true"/>
              </w:rPr>
              <w:t>"</w:t>
            </w:r>
            <w:r>
              <w:rPr>
                <w:sz w:val="30"/>
                <w:sz w:val="30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30"/>
                <w:szCs w:val="26"/>
              </w:rPr>
            </w:pPr>
            <w:r>
              <w:rPr>
                <w:sz w:val="30"/>
                <w:sz w:val="30"/>
                <w:szCs w:val="26"/>
                <w:rtl w:val="true"/>
              </w:rPr>
              <w:t>בראונר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sz w:val="30"/>
                <w:szCs w:val="26"/>
                <w:u w:val="none"/>
              </w:rPr>
            </w:pPr>
            <w:r>
              <w:rPr>
                <w:sz w:val="30"/>
                <w:sz w:val="30"/>
                <w:szCs w:val="26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  <w:u w:val="none"/>
              </w:rPr>
            </w:pPr>
            <w:r>
              <w:rPr>
                <w:b/>
                <w:bCs/>
                <w:sz w:val="30"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פרג</w:t>
            </w:r>
            <w:r>
              <w:rPr>
                <w:b/>
                <w:bCs/>
                <w:sz w:val="30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6"/>
                <w:rtl w:val="true"/>
              </w:rPr>
              <w:t>שרבאתי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30"/>
                <w:szCs w:val="26"/>
              </w:rPr>
            </w:pPr>
            <w:r>
              <w:rPr>
                <w:sz w:val="30"/>
                <w:sz w:val="30"/>
                <w:szCs w:val="26"/>
                <w:rtl w:val="true"/>
              </w:rPr>
              <w:t>ע</w:t>
            </w:r>
            <w:r>
              <w:rPr>
                <w:sz w:val="30"/>
                <w:szCs w:val="26"/>
                <w:rtl w:val="true"/>
              </w:rPr>
              <w:t>"</w:t>
            </w:r>
            <w:r>
              <w:rPr>
                <w:sz w:val="30"/>
                <w:sz w:val="30"/>
                <w:szCs w:val="26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sz w:val="30"/>
                <w:sz w:val="30"/>
                <w:szCs w:val="26"/>
                <w:rtl w:val="true"/>
              </w:rPr>
              <w:t>ב</w:t>
            </w:r>
            <w:r>
              <w:rPr>
                <w:sz w:val="30"/>
                <w:szCs w:val="26"/>
                <w:rtl w:val="true"/>
              </w:rPr>
              <w:t>"</w:t>
            </w:r>
            <w:r>
              <w:rPr>
                <w:sz w:val="30"/>
                <w:sz w:val="30"/>
                <w:szCs w:val="26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26"/>
                <w:rtl w:val="true"/>
              </w:rPr>
              <w:t xml:space="preserve"> </w:t>
            </w:r>
            <w:r>
              <w:rPr>
                <w:sz w:val="30"/>
                <w:sz w:val="30"/>
                <w:szCs w:val="26"/>
                <w:rtl w:val="true"/>
              </w:rPr>
              <w:t>עו</w:t>
            </w:r>
            <w:r>
              <w:rPr>
                <w:sz w:val="30"/>
                <w:szCs w:val="26"/>
                <w:rtl w:val="true"/>
              </w:rPr>
              <w:t>"</w:t>
            </w:r>
            <w:r>
              <w:rPr>
                <w:sz w:val="30"/>
                <w:sz w:val="30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30"/>
                <w:szCs w:val="26"/>
              </w:rPr>
            </w:pPr>
            <w:r>
              <w:rPr>
                <w:sz w:val="30"/>
                <w:sz w:val="30"/>
                <w:szCs w:val="26"/>
                <w:rtl w:val="true"/>
              </w:rPr>
              <w:t>בלום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30"/>
                <w:szCs w:val="26"/>
                <w:u w:val="none"/>
              </w:rPr>
            </w:pPr>
            <w:r>
              <w:rPr>
                <w:sz w:val="30"/>
                <w:sz w:val="30"/>
                <w:szCs w:val="26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34"/>
          <w:szCs w:val="34"/>
        </w:rPr>
      </w:pPr>
      <w:r>
        <w:rPr>
          <w:sz w:val="34"/>
          <w:szCs w:val="34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4"/>
          <w:szCs w:val="24"/>
        </w:rPr>
      </w:pPr>
      <w:r>
        <w:rPr>
          <w:rFonts w:cs="FrankRuehl" w:ascii="FrankRuehl" w:hAnsi="FrankRuehl"/>
          <w:sz w:val="3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Cs w:val="24"/>
          </w:rPr>
          <w:t>1977</w:t>
        </w:r>
      </w:hyperlink>
      <w:r>
        <w:rPr>
          <w:rFonts w:cs="FrankRuehl" w:ascii="FrankRuehl" w:hAnsi="FrankRuehl"/>
          <w:color w:val="0000FF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Cs w:val="24"/>
          </w:rPr>
          <w:t>144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Cs w:val="24"/>
          </w:rPr>
          <w:t>144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Cs w:val="24"/>
          </w:rPr>
          <w:t>2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Cs w:val="24"/>
          <w:u w:val="single"/>
        </w:rPr>
      </w:pPr>
      <w:r>
        <w:rPr>
          <w:rFonts w:cs="FrankRuehl" w:ascii="FrankRuehl" w:hAnsi="FrankRuehl"/>
          <w:color w:val="0000FF"/>
          <w:szCs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4"/>
          <w:szCs w:val="34"/>
        </w:rPr>
      </w:pPr>
      <w:r>
        <w:rPr>
          <w:rFonts w:cs="FrankRuehl" w:ascii="FrankRuehl" w:hAnsi="FrankRuehl"/>
          <w:sz w:val="34"/>
          <w:szCs w:val="3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center"/>
        <w:rPr>
          <w:sz w:val="34"/>
          <w:szCs w:val="34"/>
        </w:rPr>
      </w:pPr>
      <w:r>
        <w:rPr>
          <w:sz w:val="34"/>
          <w:szCs w:val="34"/>
          <w:rtl w:val="true"/>
        </w:rPr>
      </w:r>
    </w:p>
    <w:p>
      <w:pPr>
        <w:pStyle w:val="Normal"/>
        <w:ind w:end="0"/>
        <w:jc w:val="center"/>
        <w:rPr>
          <w:sz w:val="34"/>
          <w:szCs w:val="34"/>
        </w:rPr>
      </w:pPr>
      <w:r>
        <w:rPr>
          <w:sz w:val="34"/>
          <w:szCs w:val="34"/>
          <w:rtl w:val="true"/>
        </w:rPr>
      </w:r>
    </w:p>
    <w:p>
      <w:pPr>
        <w:pStyle w:val="Normal"/>
        <w:ind w:end="0"/>
        <w:jc w:val="center"/>
        <w:rPr>
          <w:sz w:val="34"/>
          <w:szCs w:val="34"/>
        </w:rPr>
      </w:pPr>
      <w:r>
        <w:rPr>
          <w:sz w:val="34"/>
          <w:szCs w:val="34"/>
          <w:rtl w:val="true"/>
        </w:rPr>
      </w:r>
    </w:p>
    <w:p>
      <w:pPr>
        <w:pStyle w:val="Normal"/>
        <w:ind w:end="0"/>
        <w:jc w:val="center"/>
        <w:rPr>
          <w:sz w:val="34"/>
          <w:szCs w:val="34"/>
        </w:rPr>
      </w:pPr>
      <w:r>
        <w:rPr>
          <w:sz w:val="34"/>
          <w:szCs w:val="34"/>
          <w:rtl w:val="true"/>
        </w:rPr>
      </w:r>
    </w:p>
    <w:p>
      <w:pPr>
        <w:pStyle w:val="Normal"/>
        <w:ind w:end="0"/>
        <w:jc w:val="center"/>
        <w:rPr>
          <w:bCs/>
          <w:sz w:val="34"/>
          <w:szCs w:val="34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Cs/>
          <w:sz w:val="34"/>
          <w:sz w:val="34"/>
          <w:szCs w:val="34"/>
          <w:u w:val="single"/>
          <w:rtl w:val="true"/>
        </w:rPr>
        <w:t>גזר</w:t>
      </w:r>
      <w:r>
        <w:rPr>
          <w:rFonts w:cs="Times New Roman"/>
          <w:bCs/>
          <w:sz w:val="34"/>
          <w:sz w:val="34"/>
          <w:szCs w:val="34"/>
          <w:u w:val="single"/>
          <w:rtl w:val="true"/>
        </w:rPr>
        <w:t xml:space="preserve"> </w:t>
      </w:r>
      <w:r>
        <w:rPr>
          <w:bCs/>
          <w:sz w:val="34"/>
          <w:sz w:val="34"/>
          <w:szCs w:val="3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Cs/>
          <w:sz w:val="34"/>
          <w:szCs w:val="34"/>
          <w:u w:val="single"/>
        </w:rPr>
      </w:pPr>
      <w:r>
        <w:rPr>
          <w:bCs/>
          <w:sz w:val="34"/>
          <w:szCs w:val="34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bookmarkStart w:id="17" w:name="ABSTRACT_START"/>
      <w:bookmarkEnd w:id="17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bookmarkStart w:id="18" w:name="ABSTRACT_END"/>
      <w:bookmarkEnd w:id="18"/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החייל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פלשתיני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צאדק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ידידות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שהשתחררו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צאדק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7.10.2004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לצאדק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דולר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480"/>
        <w:ind w:start="360" w:end="0"/>
        <w:jc w:val="both"/>
        <w:rPr>
          <w:sz w:val="26"/>
          <w:szCs w:val="26"/>
        </w:rPr>
      </w:pPr>
      <w:r>
        <w:rPr>
          <w:color w:val="FFFFFF"/>
          <w:sz w:val="4"/>
          <w:szCs w:val="4"/>
        </w:rPr>
        <w:t>5129371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18.10.04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9,000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20.10.04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9,000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בענאתה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כקצב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באטליז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1998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אגרופן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בא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צאדק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נרכשו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בא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כסמל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ולילדיו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שישתמשו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בפיגועים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4609/98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אחמד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טאהא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נגד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99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716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מתגלגל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ומגיע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מחבל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ועלינו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בחשבון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אפשרות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ולמנוע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הצפויה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הבדל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ספק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שהתרחשו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והולכת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להתריע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ולפעול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כנדרש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360" w:leader="none"/>
        </w:tabs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480"/>
        <w:ind w:start="360"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4526/04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זעתרי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נגד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360" w:leader="none"/>
        </w:tabs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480"/>
        <w:ind w:start="720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ארגוני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לפעולות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והרג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פליליות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המסכנות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מצווים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והחזקתו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360" w:leader="none"/>
        </w:tabs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בוחנים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10499/02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נגד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אלמוג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מיארה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2043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2044</w:t>
      </w:r>
      <w:r>
        <w:rPr>
          <w:sz w:val="26"/>
          <w:szCs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החיסכון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ולהבא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160/98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103/98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98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10">
        <w:r>
          <w:rPr>
            <w:rStyle w:val="Hyperlink"/>
            <w:sz w:val="26"/>
            <w:sz w:val="26"/>
            <w:szCs w:val="26"/>
            <w:u w:val="none"/>
            <w:rtl w:val="true"/>
          </w:rPr>
          <w:t>ע</w:t>
        </w:r>
        <w:r>
          <w:rPr>
            <w:rStyle w:val="Hyperlink"/>
            <w:sz w:val="26"/>
            <w:szCs w:val="26"/>
            <w:u w:val="none"/>
            <w:rtl w:val="true"/>
          </w:rPr>
          <w:t>"</w:t>
        </w:r>
        <w:r>
          <w:rPr>
            <w:rStyle w:val="Hyperlink"/>
            <w:sz w:val="26"/>
            <w:sz w:val="26"/>
            <w:szCs w:val="26"/>
            <w:u w:val="none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u w:val="none"/>
            <w:rtl w:val="true"/>
          </w:rPr>
          <w:t xml:space="preserve"> </w:t>
        </w:r>
        <w:r>
          <w:rPr>
            <w:rStyle w:val="Hyperlink"/>
            <w:sz w:val="26"/>
            <w:szCs w:val="26"/>
            <w:u w:val="none"/>
          </w:rPr>
          <w:t>1724/99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6266/01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483/02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חי</w:t>
      </w:r>
      <w:r>
        <w:rPr>
          <w:sz w:val="26"/>
          <w:szCs w:val="26"/>
          <w:rtl w:val="true"/>
        </w:rPr>
        <w:t xml:space="preserve">')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4702/02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ובפסקי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48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20.10.2004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480"/>
        <w:ind w:start="360" w:end="0"/>
        <w:jc w:val="both"/>
        <w:rPr>
          <w:b/>
          <w:bCs/>
          <w:sz w:val="28"/>
        </w:rPr>
      </w:pPr>
      <w:r>
        <w:rPr>
          <w:b/>
          <w:b/>
          <w:bCs/>
          <w:sz w:val="30"/>
          <w:sz w:val="30"/>
          <w:rtl w:val="true"/>
        </w:rPr>
        <w:t>זכות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ערעור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לבית</w:t>
      </w:r>
      <w:r>
        <w:rPr>
          <w:b/>
          <w:bCs/>
          <w:sz w:val="30"/>
          <w:rtl w:val="true"/>
        </w:rPr>
        <w:t>-</w:t>
      </w:r>
      <w:r>
        <w:rPr>
          <w:b/>
          <w:b/>
          <w:bCs/>
          <w:sz w:val="30"/>
          <w:sz w:val="30"/>
          <w:rtl w:val="true"/>
        </w:rPr>
        <w:t>המשפט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העליון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בתוך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45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יום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מהיום</w:t>
      </w:r>
      <w:r>
        <w:rPr>
          <w:b/>
          <w:bCs/>
          <w:sz w:val="3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p>
      <w:pPr>
        <w:pStyle w:val="Normal"/>
        <w:spacing w:lineRule="auto" w:line="480"/>
        <w:ind w:start="360"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ניתן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היום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ט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אדר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א</w:t>
      </w:r>
      <w:r>
        <w:rPr>
          <w:b/>
          <w:bCs/>
          <w:sz w:val="30"/>
          <w:rtl w:val="true"/>
        </w:rPr>
        <w:t xml:space="preserve">' </w:t>
      </w:r>
      <w:r>
        <w:rPr>
          <w:b/>
          <w:b/>
          <w:bCs/>
          <w:sz w:val="30"/>
          <w:sz w:val="30"/>
          <w:rtl w:val="true"/>
        </w:rPr>
        <w:t>התשס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  <w:rtl w:val="true"/>
        </w:rPr>
        <w:t>(</w:t>
      </w:r>
      <w:r>
        <w:rPr>
          <w:b/>
          <w:bCs/>
          <w:sz w:val="30"/>
        </w:rPr>
        <w:t>24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בפברואר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2005</w:t>
      </w:r>
      <w:r>
        <w:rPr>
          <w:b/>
          <w:bCs/>
          <w:sz w:val="30"/>
          <w:rtl w:val="true"/>
        </w:rPr>
        <w:t xml:space="preserve">), </w:t>
      </w:r>
      <w:r>
        <w:rPr>
          <w:b/>
          <w:b/>
          <w:bCs/>
          <w:sz w:val="30"/>
          <w:sz w:val="30"/>
          <w:rtl w:val="true"/>
        </w:rPr>
        <w:t>במעמד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הצדדים</w:t>
      </w:r>
      <w:r>
        <w:rPr>
          <w:b/>
          <w:bCs/>
          <w:sz w:val="3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צבן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22"/>
          <w:szCs w:val="26"/>
        </w:rPr>
      </w:pPr>
      <w:r>
        <w:rPr>
          <w:sz w:val="22"/>
          <w:sz w:val="22"/>
          <w:szCs w:val="26"/>
          <w:rtl w:val="true"/>
        </w:rPr>
        <w:t>נוסח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מסמך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זה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כפוף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לשינויי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ניסוח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/Users/liorb/Downloads/study2025-p2/m04000455-611.doc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455/04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פרג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שרבאתי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5707014" TargetMode="External"/><Relationship Id="rId8" Type="http://schemas.openxmlformats.org/officeDocument/2006/relationships/hyperlink" Target="http://www.nevo.co.il/case/5962283" TargetMode="External"/><Relationship Id="rId9" Type="http://schemas.openxmlformats.org/officeDocument/2006/relationships/hyperlink" Target="http://www.nevo.co.il/case/6171019" TargetMode="External"/><Relationship Id="rId10" Type="http://schemas.openxmlformats.org/officeDocument/2006/relationships/hyperlink" Target="http://www.nevo.co.il/case/5787284" TargetMode="External"/><Relationship Id="rId11" Type="http://schemas.openxmlformats.org/officeDocument/2006/relationships/hyperlink" Target="http://www.nevo.co.il/case/6056959" TargetMode="External"/><Relationship Id="rId12" Type="http://schemas.openxmlformats.org/officeDocument/2006/relationships/hyperlink" Target="http://www.nevo.co.il/case/277156" TargetMode="External"/><Relationship Id="rId13" Type="http://schemas.openxmlformats.org/officeDocument/2006/relationships/hyperlink" Target="http://www.nevo.co.il/case/5971488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2017-06-19T12:39:00Z</dcterms:created>
  <dc:creator> </dc:creator>
  <dc:description/>
  <cp:keywords/>
  <dc:language>en-IL</dc:language>
  <cp:lastModifiedBy>run</cp:lastModifiedBy>
  <cp:lastPrinted>2005-02-21T08:59:00Z</cp:lastPrinted>
  <dcterms:modified xsi:type="dcterms:W3CDTF">2017-06-19T12:39:00Z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פרג' בן מחמוד שרבאתי</vt:lpwstr>
  </property>
  <property fmtid="{D5CDD505-2E9C-101B-9397-08002B2CF9AE}" pid="4" name="CASENOTES1">
    <vt:lpwstr>ProcID=209&amp;PartA=160&amp;PartC=98</vt:lpwstr>
  </property>
  <property fmtid="{D5CDD505-2E9C-101B-9397-08002B2CF9AE}" pid="5" name="CASENOTES2">
    <vt:lpwstr>ProcID=209&amp;PartA=103&amp;PartC=98</vt:lpwstr>
  </property>
  <property fmtid="{D5CDD505-2E9C-101B-9397-08002B2CF9AE}" pid="6" name="CASESLISTTMP1">
    <vt:lpwstr>5707014;5962283;6171019;5787284;6056959;277156;5971488</vt:lpwstr>
  </property>
  <property fmtid="{D5CDD505-2E9C-101B-9397-08002B2CF9AE}" pid="7" name="CITY">
    <vt:lpwstr>י-ם</vt:lpwstr>
  </property>
  <property fmtid="{D5CDD505-2E9C-101B-9397-08002B2CF9AE}" pid="8" name="DATE">
    <vt:lpwstr>20050224</vt:lpwstr>
  </property>
  <property fmtid="{D5CDD505-2E9C-101B-9397-08002B2CF9AE}" pid="9" name="ISABSTRACT">
    <vt:lpwstr>Y</vt:lpwstr>
  </property>
  <property fmtid="{D5CDD505-2E9C-101B-9397-08002B2CF9AE}" pid="10" name="JUDGE">
    <vt:lpwstr>יעקב צבן</vt:lpwstr>
  </property>
  <property fmtid="{D5CDD505-2E9C-101B-9397-08002B2CF9AE}" pid="11" name="LAWLISTTMP1">
    <vt:lpwstr>70301/144.b2;144.a</vt:lpwstr>
  </property>
  <property fmtid="{D5CDD505-2E9C-101B-9397-08002B2CF9AE}" pid="12" name="LAWYER">
    <vt:lpwstr>בראונר;בלום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455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