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1"/>
        <w:spacing w:before="0" w:after="0"/>
        <w:ind w:end="0"/>
        <w:jc w:val="center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center"/>
        <w:rPr/>
      </w:pPr>
      <w:r>
        <w:rPr>
          <w:rtl w:val="true"/>
        </w:rPr>
        <w:t xml:space="preserve">    </w:t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</w:rPr>
      </w:pPr>
      <w:r>
        <w:rPr>
          <w:rFonts w:cs="David"/>
          <w:b/>
          <w:b/>
          <w:bCs/>
          <w:sz w:val="20"/>
          <w:sz w:val="20"/>
          <w:szCs w:val="28"/>
          <w:rtl w:val="true"/>
        </w:rPr>
        <w:t>בתי המשפט</w:t>
      </w:r>
      <w:r>
        <w:rPr>
          <w:rFonts w:cs="David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המחוזי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ת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0"/>
                <w:szCs w:val="28"/>
              </w:rPr>
              <w:t>001207/01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bookmarkStart w:id="0" w:name="LastJudge"/>
            <w:bookmarkEnd w:id="0"/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בפני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כב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 xml:space="preserve">'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השופטת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מוסיה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ארד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סגנית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נשיא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b/>
                <w:bCs/>
              </w:rPr>
            </w:pPr>
            <w:r>
              <w:rPr>
                <w:rFonts w:cs="David"/>
                <w:b/>
                <w:bCs/>
                <w:sz w:val="20"/>
                <w:szCs w:val="28"/>
              </w:rPr>
              <w:t>09/04/02</w:t>
            </w:r>
          </w:p>
        </w:tc>
      </w:tr>
    </w:tbl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2"/>
        </w:rPr>
      </w:pPr>
      <w:r>
        <w:rPr>
          <w:rFonts w:cs="David"/>
          <w:sz w:val="20"/>
          <w:szCs w:val="22"/>
          <w:rtl w:val="true"/>
        </w:rPr>
        <w:t> </w:t>
      </w:r>
    </w:p>
    <w:p>
      <w:pPr>
        <w:pStyle w:val="Header"/>
        <w:bidi w:val="1"/>
        <w:ind w:end="0"/>
        <w:jc w:val="start"/>
        <w:rPr>
          <w:rFonts w:cs="David"/>
          <w:szCs w:val="20"/>
        </w:rPr>
      </w:pPr>
      <w:r>
        <w:rPr>
          <w:rFonts w:cs="David"/>
          <w:szCs w:val="20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center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bookmarkStart w:id="1" w:name="FirstAppellant"/>
            <w:bookmarkEnd w:id="1"/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בעניין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מדינת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bookmarkStart w:id="2" w:name="בא_כוח_א"/>
            <w:bookmarkEnd w:id="2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bidi w:val="1"/>
              <w:spacing w:before="280" w:after="0"/>
              <w:ind w:hanging="0" w:start="0" w:end="0"/>
              <w:jc w:val="start"/>
              <w:rPr>
                <w:rFonts w:cs="David"/>
                <w:sz w:val="20"/>
                <w:szCs w:val="28"/>
              </w:rPr>
            </w:pPr>
            <w:r>
              <w:rPr>
                <w:rFonts w:cs="David"/>
                <w:sz w:val="20"/>
                <w:sz w:val="20"/>
                <w:szCs w:val="28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bidi w:val="1"/>
              <w:spacing w:before="0" w:after="0"/>
              <w:ind w:end="0"/>
              <w:jc w:val="center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 </w:t>
            </w:r>
          </w:p>
          <w:p>
            <w:pPr>
              <w:pStyle w:val="Normal"/>
              <w:bidi w:val="1"/>
              <w:spacing w:before="280" w:after="280"/>
              <w:ind w:end="0"/>
              <w:jc w:val="center"/>
              <w:rPr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נ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ג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ד</w:t>
            </w:r>
          </w:p>
          <w:p>
            <w:pPr>
              <w:pStyle w:val="Normal"/>
              <w:bidi w:val="1"/>
              <w:spacing w:before="0" w:after="0"/>
              <w:ind w:end="0"/>
              <w:jc w:val="center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bookmarkStart w:id="3" w:name="שם_ב"/>
            <w:bookmarkEnd w:id="3"/>
            <w:r>
              <w:rPr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מליחאת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מחמד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bookmarkStart w:id="4" w:name="FirstLawyer"/>
            <w:bookmarkStart w:id="5" w:name="בא_כוח_ב"/>
            <w:bookmarkEnd w:id="4"/>
            <w:bookmarkEnd w:id="5"/>
            <w:r>
              <w:rPr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י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ב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כ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עו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עו</w:t>
            </w:r>
            <w:r>
              <w:rPr>
                <w:rFonts w:cs="David"/>
                <w:b/>
                <w:bCs/>
                <w:sz w:val="20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ד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מזאוי</w:t>
            </w:r>
            <w:r>
              <w:rPr>
                <w:b/>
                <w:b/>
                <w:bCs/>
                <w:sz w:val="20"/>
                <w:sz w:val="2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אסעד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bidi w:val="1"/>
              <w:spacing w:before="0" w:after="0"/>
              <w:ind w:end="0"/>
              <w:jc w:val="start"/>
              <w:rPr>
                <w:rFonts w:cs="David"/>
                <w:b/>
                <w:bCs/>
                <w:sz w:val="20"/>
                <w:szCs w:val="28"/>
              </w:rPr>
            </w:pPr>
            <w:r>
              <w:rPr>
                <w:rFonts w:cs="David"/>
                <w:b/>
                <w:b/>
                <w:bCs/>
                <w:sz w:val="20"/>
                <w:sz w:val="20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bidi w:val="1"/>
        <w:spacing w:before="280" w:after="280"/>
        <w:ind w:end="0"/>
        <w:jc w:val="center"/>
        <w:rPr>
          <w:rFonts w:cs="David"/>
          <w:b/>
          <w:bCs/>
          <w:sz w:val="32"/>
          <w:szCs w:val="32"/>
        </w:rPr>
      </w:pPr>
      <w:r>
        <w:rPr>
          <w:rFonts w:cs="David"/>
          <w:b/>
          <w:bCs/>
          <w:sz w:val="32"/>
          <w:szCs w:val="32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  <w:b/>
          <w:bCs/>
          <w:sz w:val="32"/>
          <w:szCs w:val="32"/>
        </w:rPr>
      </w:pPr>
      <w:r>
        <w:rPr>
          <w:rFonts w:cs="David"/>
          <w:b/>
          <w:bCs/>
          <w:sz w:val="32"/>
          <w:szCs w:val="32"/>
          <w:rtl w:val="true"/>
        </w:rPr>
      </w:r>
    </w:p>
    <w:p>
      <w:pPr>
        <w:pStyle w:val="Normal"/>
        <w:bidi w:val="1"/>
        <w:spacing w:before="280" w:after="280"/>
        <w:ind w:end="0"/>
        <w:jc w:val="center"/>
        <w:rPr>
          <w:b/>
          <w:bCs/>
          <w:sz w:val="32"/>
          <w:szCs w:val="32"/>
          <w:u w:val="single"/>
        </w:rPr>
      </w:pPr>
      <w:bookmarkStart w:id="6" w:name="PsakDin"/>
      <w:bookmarkEnd w:id="6"/>
      <w:r>
        <w:rPr>
          <w:rFonts w:cs="David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cs="David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bidi w:val="1"/>
        <w:spacing w:before="280" w:after="280"/>
        <w:ind w:end="0"/>
        <w:jc w:val="center"/>
        <w:rPr>
          <w:rFonts w:cs="David"/>
          <w:b/>
          <w:bCs/>
          <w:sz w:val="32"/>
          <w:szCs w:val="32"/>
          <w:u w:val="single"/>
        </w:rPr>
      </w:pPr>
      <w:r>
        <w:rPr>
          <w:rFonts w:cs="David"/>
          <w:b/>
          <w:bCs/>
          <w:sz w:val="32"/>
          <w:szCs w:val="3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bookmarkStart w:id="9" w:name="ABSTRACT_START"/>
      <w:bookmarkEnd w:id="9"/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מחמד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מליחאת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יליד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1981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הורשע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בשוד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מזוין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בחבורה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החזקת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נשק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ושהייה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בישראל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כדין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לפי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סעיפים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402</w:t>
      </w:r>
      <w:r>
        <w:rPr>
          <w:rFonts w:cs="David"/>
          <w:sz w:val="20"/>
          <w:szCs w:val="28"/>
          <w:rtl w:val="true"/>
        </w:rPr>
        <w:t>(</w:t>
      </w:r>
      <w:r>
        <w:rPr>
          <w:rFonts w:cs="David"/>
          <w:sz w:val="20"/>
          <w:sz w:val="20"/>
          <w:szCs w:val="28"/>
          <w:rtl w:val="true"/>
        </w:rPr>
        <w:t>א</w:t>
      </w:r>
      <w:r>
        <w:rPr>
          <w:rFonts w:cs="David"/>
          <w:sz w:val="20"/>
          <w:szCs w:val="28"/>
          <w:rtl w:val="true"/>
        </w:rPr>
        <w:t>)+(</w:t>
      </w:r>
      <w:r>
        <w:rPr>
          <w:rFonts w:cs="David"/>
          <w:sz w:val="20"/>
          <w:sz w:val="20"/>
          <w:szCs w:val="28"/>
          <w:rtl w:val="true"/>
        </w:rPr>
        <w:t>ב</w:t>
      </w:r>
      <w:r>
        <w:rPr>
          <w:rFonts w:cs="David"/>
          <w:sz w:val="20"/>
          <w:szCs w:val="28"/>
          <w:rtl w:val="true"/>
        </w:rPr>
        <w:t xml:space="preserve">) </w:t>
      </w:r>
      <w:r>
        <w:rPr>
          <w:rFonts w:cs="David"/>
          <w:sz w:val="20"/>
          <w:sz w:val="20"/>
          <w:szCs w:val="28"/>
          <w:rtl w:val="true"/>
        </w:rPr>
        <w:t>ו</w:t>
      </w:r>
      <w:r>
        <w:rPr>
          <w:rFonts w:cs="David"/>
          <w:sz w:val="20"/>
          <w:szCs w:val="28"/>
          <w:rtl w:val="true"/>
        </w:rPr>
        <w:t>-</w:t>
      </w:r>
      <w:r>
        <w:rPr>
          <w:rFonts w:cs="David"/>
          <w:sz w:val="20"/>
          <w:szCs w:val="28"/>
        </w:rPr>
        <w:t>144</w:t>
      </w:r>
      <w:r>
        <w:rPr>
          <w:rFonts w:cs="David"/>
          <w:sz w:val="20"/>
          <w:szCs w:val="28"/>
          <w:rtl w:val="true"/>
        </w:rPr>
        <w:t>(</w:t>
      </w:r>
      <w:r>
        <w:rPr>
          <w:rFonts w:cs="David"/>
          <w:sz w:val="20"/>
          <w:sz w:val="20"/>
          <w:szCs w:val="28"/>
          <w:rtl w:val="true"/>
        </w:rPr>
        <w:t>א</w:t>
      </w:r>
      <w:r>
        <w:rPr>
          <w:rFonts w:cs="David"/>
          <w:sz w:val="20"/>
          <w:szCs w:val="28"/>
          <w:rtl w:val="true"/>
        </w:rPr>
        <w:t xml:space="preserve">) </w:t>
      </w:r>
      <w:r>
        <w:rPr>
          <w:rFonts w:cs="David"/>
          <w:sz w:val="20"/>
          <w:sz w:val="20"/>
          <w:szCs w:val="28"/>
          <w:rtl w:val="true"/>
        </w:rPr>
        <w:t>לחוק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העונשין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התשל</w:t>
      </w:r>
      <w:r>
        <w:rPr>
          <w:rFonts w:cs="David"/>
          <w:sz w:val="20"/>
          <w:szCs w:val="28"/>
          <w:rtl w:val="true"/>
        </w:rPr>
        <w:t>"</w:t>
      </w:r>
      <w:r>
        <w:rPr>
          <w:rFonts w:cs="David"/>
          <w:sz w:val="20"/>
          <w:sz w:val="20"/>
          <w:szCs w:val="28"/>
          <w:rtl w:val="true"/>
        </w:rPr>
        <w:t>ז</w:t>
      </w:r>
      <w:r>
        <w:rPr>
          <w:rFonts w:cs="David"/>
          <w:sz w:val="20"/>
          <w:szCs w:val="28"/>
          <w:rtl w:val="true"/>
        </w:rPr>
        <w:t>-</w:t>
      </w:r>
      <w:r>
        <w:rPr>
          <w:rFonts w:cs="David"/>
          <w:sz w:val="20"/>
          <w:szCs w:val="28"/>
        </w:rPr>
        <w:t>1977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וסעיף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12</w:t>
      </w:r>
      <w:r>
        <w:rPr>
          <w:rFonts w:cs="David"/>
          <w:sz w:val="20"/>
          <w:szCs w:val="28"/>
          <w:rtl w:val="true"/>
        </w:rPr>
        <w:t>(</w:t>
      </w:r>
      <w:r>
        <w:rPr>
          <w:rFonts w:cs="David"/>
          <w:sz w:val="20"/>
          <w:szCs w:val="28"/>
        </w:rPr>
        <w:t>1</w:t>
      </w:r>
      <w:r>
        <w:rPr>
          <w:rFonts w:cs="David"/>
          <w:sz w:val="20"/>
          <w:szCs w:val="28"/>
          <w:rtl w:val="true"/>
        </w:rPr>
        <w:t xml:space="preserve">) </w:t>
      </w:r>
      <w:r>
        <w:rPr>
          <w:rFonts w:cs="David"/>
          <w:sz w:val="20"/>
          <w:sz w:val="20"/>
          <w:szCs w:val="28"/>
          <w:rtl w:val="true"/>
        </w:rPr>
        <w:t>לחוק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הכניסה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לישראל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התשי</w:t>
      </w:r>
      <w:r>
        <w:rPr>
          <w:rFonts w:cs="David"/>
          <w:sz w:val="20"/>
          <w:szCs w:val="28"/>
          <w:rtl w:val="true"/>
        </w:rPr>
        <w:t>"</w:t>
      </w:r>
      <w:r>
        <w:rPr>
          <w:rFonts w:cs="David"/>
          <w:sz w:val="20"/>
          <w:sz w:val="20"/>
          <w:szCs w:val="28"/>
          <w:rtl w:val="true"/>
        </w:rPr>
        <w:t>ב</w:t>
      </w:r>
      <w:r>
        <w:rPr>
          <w:rFonts w:cs="David"/>
          <w:sz w:val="20"/>
          <w:szCs w:val="28"/>
          <w:rtl w:val="true"/>
        </w:rPr>
        <w:t>-</w:t>
      </w:r>
      <w:r>
        <w:rPr>
          <w:rFonts w:cs="David"/>
          <w:sz w:val="20"/>
          <w:szCs w:val="28"/>
        </w:rPr>
        <w:t>1952</w:t>
      </w:r>
      <w:bookmarkStart w:id="10" w:name="ABSTRACT_END"/>
      <w:bookmarkEnd w:id="10"/>
      <w:r>
        <w:rPr>
          <w:rFonts w:cs="David"/>
          <w:sz w:val="20"/>
          <w:szCs w:val="28"/>
          <w:rtl w:val="true"/>
        </w:rPr>
        <w:t>.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r>
        <w:rPr>
          <w:rFonts w:cs="David"/>
          <w:sz w:val="20"/>
          <w:sz w:val="20"/>
          <w:szCs w:val="28"/>
          <w:rtl w:val="true"/>
        </w:rPr>
        <w:t>ביום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4.6.01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בסמוך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לשעה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05:45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באזור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התעשייה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בעטרות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איימו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ואחר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שזהותו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אינה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ידועה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למאשימה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בסכין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ובאקדח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המתלונן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שנהג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במשאית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מדגם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וולבו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כי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ימסור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לידיהם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המשאית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והאחר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הוציאו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בכוח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המתלונן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מהמשאית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השליכו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אותו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הארץ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ונמלטו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מהמקום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המשאית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כעבור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זמן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רב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תושייתם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המתלונן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ובעליו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הרכב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ובעזרת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מכשיר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שהיה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מותקן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ברכב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נתפס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הרכב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והוחזר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לבעליו</w:t>
      </w:r>
      <w:r>
        <w:rPr>
          <w:rFonts w:cs="David"/>
          <w:sz w:val="2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  <w:rtl w:val="true"/>
        </w:rPr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color w:val="FFFFFF"/>
          <w:sz w:val="4"/>
          <w:szCs w:val="4"/>
        </w:rPr>
      </w:pPr>
      <w:r>
        <w:rPr>
          <w:rFonts w:cs="David"/>
          <w:color w:val="FFFFFF"/>
          <w:sz w:val="4"/>
          <w:szCs w:val="4"/>
        </w:rPr>
        <w:t>5129371</w:t>
      </w:r>
    </w:p>
    <w:p>
      <w:pPr>
        <w:pStyle w:val="Normal"/>
        <w:bidi w:val="1"/>
        <w:spacing w:before="280" w:after="280"/>
        <w:ind w:end="0"/>
        <w:jc w:val="start"/>
        <w:rPr/>
      </w:pPr>
      <w:r>
        <w:rPr>
          <w:rFonts w:cs="David"/>
          <w:color w:val="FFFFFF"/>
          <w:sz w:val="4"/>
          <w:szCs w:val="4"/>
        </w:rPr>
        <w:t>5129371</w:t>
      </w:r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r>
        <w:rPr>
          <w:rFonts w:cs="David"/>
          <w:sz w:val="20"/>
          <w:sz w:val="20"/>
          <w:szCs w:val="28"/>
          <w:rtl w:val="true"/>
        </w:rPr>
        <w:t>לנאשם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שתי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הרשעות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קודמות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האחת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מיום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18.7.00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התחזות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כאדם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אחר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והפרעה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לשוטר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במילוי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תפקידו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בגינה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נדון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בפועל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לתקופה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חודשיים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</w:t>
      </w:r>
      <w:r>
        <w:rPr>
          <w:rFonts w:cs="David"/>
          <w:sz w:val="20"/>
          <w:szCs w:val="28"/>
          <w:rtl w:val="true"/>
        </w:rPr>
        <w:t>-</w:t>
      </w:r>
      <w:r>
        <w:rPr>
          <w:rFonts w:cs="David"/>
          <w:sz w:val="20"/>
          <w:szCs w:val="28"/>
        </w:rPr>
        <w:t>12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ימים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וכן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תנאי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ולקנס</w:t>
      </w:r>
      <w:r>
        <w:rPr>
          <w:rFonts w:cs="David"/>
          <w:sz w:val="20"/>
          <w:szCs w:val="28"/>
          <w:rtl w:val="true"/>
        </w:rPr>
        <w:t xml:space="preserve">; </w:t>
      </w:r>
      <w:r>
        <w:rPr>
          <w:rFonts w:cs="David"/>
          <w:sz w:val="20"/>
          <w:sz w:val="20"/>
          <w:szCs w:val="28"/>
          <w:rtl w:val="true"/>
        </w:rPr>
        <w:t>ההרשעה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השניה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מיום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12.4.01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היא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בעבירה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כניסה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לישראל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כחוק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בגינה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נדון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לחודש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בפועל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ולחמישה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חודשי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תנאי</w:t>
      </w:r>
      <w:r>
        <w:rPr>
          <w:rFonts w:cs="David"/>
          <w:sz w:val="20"/>
          <w:szCs w:val="28"/>
          <w:rtl w:val="true"/>
        </w:rPr>
        <w:t xml:space="preserve">.   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r>
        <w:rPr>
          <w:rFonts w:cs="David"/>
          <w:sz w:val="20"/>
          <w:sz w:val="20"/>
          <w:szCs w:val="28"/>
          <w:rtl w:val="true"/>
        </w:rPr>
        <w:t>מתסקיר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קצינת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מבחן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שהוגש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אודות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עולים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פרטים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אלה</w:t>
      </w:r>
      <w:r>
        <w:rPr>
          <w:rFonts w:cs="David"/>
          <w:sz w:val="20"/>
          <w:szCs w:val="28"/>
          <w:rtl w:val="true"/>
        </w:rPr>
        <w:t>:</w:t>
      </w:r>
    </w:p>
    <w:p>
      <w:pPr>
        <w:pStyle w:val="Normal"/>
        <w:bidi w:val="1"/>
        <w:spacing w:before="280" w:after="280"/>
        <w:ind w:end="0"/>
        <w:jc w:val="start"/>
        <w:rPr/>
      </w:pP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בדואי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המתגורר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משפחתו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באוהל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ליד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רמאללה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לנאשם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הורים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ואחד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עשר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אחים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ואחיות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למד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כשנתיים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בלבד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בבית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ספר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בגיל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8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החל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לעבוד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במחצבה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תחילה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כמגיש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קפה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ולאחר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מכן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כפועל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אביו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הפסיק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לעבוד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לפני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כשלוש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בעיות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בריאות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ומאז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הוא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המפרנס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העיקרי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משפחתו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לאחרונה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עבד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כשומר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באתר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בניה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בהר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חומה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לפני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כשלוש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התחתן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אך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אשתו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התגרשה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ממנ</w:t>
      </w:r>
      <w:r>
        <w:rPr>
          <w:rFonts w:cs="David"/>
          <w:sz w:val="20"/>
          <w:sz w:val="20"/>
          <w:szCs w:val="28"/>
          <w:rtl w:val="true"/>
        </w:rPr>
        <w:t>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מצבו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הכלכלי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הקשה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הפרידה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מאשתו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היתה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טראומטית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עבור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והוא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התקשה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להתמודד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מצבו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להערכת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קצינת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המבחן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לנאשם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מוטיבציה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לניהול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אורח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חיים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תקין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לדעתה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חשיפה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ממושכת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לאוכלוסיית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האסירים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בבית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הסוהר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עלולה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לפגוע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ובסיכויי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שיקומו</w:t>
      </w:r>
      <w:r>
        <w:rPr>
          <w:rFonts w:cs="David"/>
          <w:sz w:val="2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r>
        <w:rPr>
          <w:rFonts w:cs="David"/>
          <w:sz w:val="20"/>
          <w:sz w:val="20"/>
          <w:szCs w:val="28"/>
          <w:rtl w:val="true"/>
        </w:rPr>
        <w:t>נסיבות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חייו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כמתואר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בתסקיר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קצינת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המבחן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אכן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קשות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כמו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הפגיעה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הכלכלית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במשפחתו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בעת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שהוא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מפרנסה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העיקרי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היא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משמעותית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ואולם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העבירות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שביצע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ובמרכזן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עבירת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השוד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שבוצעה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תחת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איום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נשק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מחייבת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תגובה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עונשית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מרתיעה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וממשית</w:t>
      </w:r>
      <w:r>
        <w:rPr>
          <w:rFonts w:cs="David"/>
          <w:sz w:val="20"/>
          <w:szCs w:val="28"/>
          <w:rtl w:val="true"/>
        </w:rPr>
        <w:t xml:space="preserve">. </w:t>
      </w:r>
      <w:r>
        <w:rPr>
          <w:rFonts w:cs="David"/>
          <w:sz w:val="20"/>
          <w:sz w:val="20"/>
          <w:szCs w:val="28"/>
          <w:rtl w:val="true"/>
        </w:rPr>
        <w:t>מדובר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במעשה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חמור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שבוצע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ביחד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אחר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בכוח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ובאיומים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וחייב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תכנון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מוקדם</w:t>
      </w:r>
      <w:r>
        <w:rPr>
          <w:rFonts w:cs="David"/>
          <w:sz w:val="2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r>
        <w:rPr>
          <w:rFonts w:cs="David"/>
          <w:sz w:val="20"/>
          <w:sz w:val="20"/>
          <w:szCs w:val="28"/>
          <w:rtl w:val="true"/>
        </w:rPr>
        <w:t>לפיכך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ולאחר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שהתחשבתי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גם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בנסיבותיו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האישיות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ובאמור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בתסקיר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קצינת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המבחן</w:t>
      </w:r>
      <w:r>
        <w:rPr>
          <w:rFonts w:cs="David"/>
          <w:sz w:val="20"/>
          <w:szCs w:val="28"/>
          <w:rtl w:val="true"/>
        </w:rPr>
        <w:t xml:space="preserve">, </w:t>
      </w:r>
      <w:r>
        <w:rPr>
          <w:rFonts w:cs="David"/>
          <w:sz w:val="20"/>
          <w:sz w:val="20"/>
          <w:szCs w:val="28"/>
          <w:rtl w:val="true"/>
        </w:rPr>
        <w:t>אני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דנה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לשלוש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וחצי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בפועל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מיום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מעצרו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ב</w:t>
      </w:r>
      <w:r>
        <w:rPr>
          <w:rFonts w:cs="David"/>
          <w:sz w:val="20"/>
          <w:szCs w:val="28"/>
          <w:rtl w:val="true"/>
        </w:rPr>
        <w:t xml:space="preserve">- </w:t>
      </w:r>
      <w:r>
        <w:rPr>
          <w:rFonts w:cs="David"/>
          <w:sz w:val="20"/>
          <w:szCs w:val="28"/>
        </w:rPr>
        <w:t>8.9.01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ולשנת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תנאי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אותה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ירצה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אם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יעבור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תוך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שלוש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שנים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מיום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שחרורו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מהמאסר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עבירה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של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גניבת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רכב</w:t>
      </w:r>
      <w:r>
        <w:rPr>
          <w:rFonts w:cs="David"/>
          <w:sz w:val="2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> </w:t>
      </w:r>
      <w:r>
        <w:br w:type="page"/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r>
        <w:rPr>
          <w:rFonts w:cs="David"/>
          <w:sz w:val="20"/>
          <w:sz w:val="20"/>
          <w:szCs w:val="28"/>
          <w:rtl w:val="true"/>
        </w:rPr>
        <w:t>לנאשם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זכות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ערעור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על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פסק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הדין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לבית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המשפט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העליון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תוך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Cs w:val="28"/>
        </w:rPr>
        <w:t>45</w:t>
      </w:r>
      <w:r>
        <w:rPr>
          <w:rFonts w:cs="David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ימים</w:t>
      </w:r>
      <w:r>
        <w:rPr>
          <w:rFonts w:cs="David"/>
          <w:sz w:val="20"/>
          <w:szCs w:val="28"/>
          <w:rtl w:val="true"/>
        </w:rPr>
        <w:t xml:space="preserve">. 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suppressLineNumbers/>
        <w:bidi w:val="1"/>
        <w:spacing w:before="280" w:after="280"/>
        <w:ind w:end="0"/>
        <w:jc w:val="start"/>
        <w:rPr>
          <w:b/>
          <w:bCs/>
          <w:sz w:val="30"/>
          <w:szCs w:val="28"/>
        </w:rPr>
      </w:pPr>
      <w:bookmarkStart w:id="11" w:name="Decision1"/>
      <w:bookmarkEnd w:id="11"/>
      <w:r>
        <w:rPr>
          <w:rFonts w:cs="David"/>
          <w:b/>
          <w:b/>
          <w:bCs/>
          <w:sz w:val="30"/>
          <w:sz w:val="30"/>
          <w:szCs w:val="28"/>
          <w:rtl w:val="true"/>
        </w:rPr>
        <w:t>ניתן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היום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כ</w:t>
      </w:r>
      <w:r>
        <w:rPr>
          <w:rFonts w:cs="David"/>
          <w:b/>
          <w:bCs/>
          <w:sz w:val="30"/>
          <w:szCs w:val="28"/>
          <w:rtl w:val="true"/>
        </w:rPr>
        <w:t>"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ז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בניסן</w:t>
      </w:r>
      <w:r>
        <w:rPr>
          <w:rFonts w:cs="David"/>
          <w:b/>
          <w:bCs/>
          <w:sz w:val="30"/>
          <w:szCs w:val="28"/>
          <w:rtl w:val="true"/>
        </w:rPr>
        <w:t xml:space="preserve">,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תשס</w:t>
      </w:r>
      <w:r>
        <w:rPr>
          <w:rFonts w:cs="David"/>
          <w:b/>
          <w:bCs/>
          <w:sz w:val="30"/>
          <w:szCs w:val="28"/>
          <w:rtl w:val="true"/>
        </w:rPr>
        <w:t>"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ב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Cs/>
          <w:sz w:val="30"/>
          <w:szCs w:val="28"/>
          <w:rtl w:val="true"/>
        </w:rPr>
        <w:t>(</w:t>
      </w:r>
      <w:r>
        <w:rPr>
          <w:rFonts w:cs="David"/>
          <w:b/>
          <w:bCs/>
          <w:sz w:val="30"/>
          <w:szCs w:val="28"/>
        </w:rPr>
        <w:t>9</w:t>
      </w:r>
      <w:r>
        <w:rPr>
          <w:rFonts w:cs="David"/>
          <w:b/>
          <w:bCs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באפריל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Cs/>
          <w:sz w:val="30"/>
          <w:szCs w:val="28"/>
        </w:rPr>
        <w:t>2002</w:t>
      </w:r>
      <w:r>
        <w:rPr>
          <w:rFonts w:cs="David"/>
          <w:b/>
          <w:bCs/>
          <w:sz w:val="30"/>
          <w:szCs w:val="28"/>
          <w:rtl w:val="true"/>
        </w:rPr>
        <w:t xml:space="preserve">)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במעמד</w:t>
      </w:r>
      <w:r>
        <w:rPr>
          <w:b/>
          <w:b/>
          <w:bCs/>
          <w:sz w:val="30"/>
          <w:sz w:val="30"/>
          <w:szCs w:val="28"/>
          <w:rtl w:val="true"/>
        </w:rPr>
        <w:t xml:space="preserve"> </w:t>
      </w:r>
      <w:r>
        <w:rPr>
          <w:rFonts w:cs="David"/>
          <w:b/>
          <w:b/>
          <w:bCs/>
          <w:sz w:val="30"/>
          <w:sz w:val="30"/>
          <w:szCs w:val="28"/>
          <w:rtl w:val="true"/>
        </w:rPr>
        <w:t>הצדדים</w:t>
      </w:r>
      <w:r>
        <w:rPr>
          <w:rFonts w:cs="David"/>
          <w:b/>
          <w:bCs/>
          <w:sz w:val="30"/>
          <w:szCs w:val="28"/>
          <w:rtl w:val="true"/>
        </w:rPr>
        <w:t xml:space="preserve">. </w:t>
      </w:r>
    </w:p>
    <w:p>
      <w:pPr>
        <w:pStyle w:val="Normal"/>
        <w:suppressLineNumbers/>
        <w:bidi w:val="1"/>
        <w:spacing w:before="280" w:after="280"/>
        <w:ind w:end="0"/>
        <w:jc w:val="start"/>
        <w:rPr>
          <w:rFonts w:cs="David"/>
          <w:b/>
          <w:bCs/>
          <w:sz w:val="30"/>
          <w:szCs w:val="28"/>
        </w:rPr>
      </w:pPr>
      <w:r>
        <w:rPr>
          <w:rFonts w:cs="David"/>
          <w:b/>
          <w:bCs/>
          <w:sz w:val="30"/>
          <w:szCs w:val="28"/>
          <w:rtl w:val="true"/>
        </w:rPr>
        <w:t> </w:t>
      </w:r>
    </w:p>
    <w:p>
      <w:pPr>
        <w:pStyle w:val="Normal"/>
        <w:suppressLineNumbers/>
        <w:bidi w:val="1"/>
        <w:spacing w:before="280" w:after="280"/>
        <w:ind w:end="0"/>
        <w:jc w:val="start"/>
        <w:rPr>
          <w:rFonts w:cs="David"/>
          <w:b/>
          <w:bCs/>
          <w:sz w:val="30"/>
          <w:szCs w:val="28"/>
        </w:rPr>
      </w:pPr>
      <w:r>
        <w:rPr>
          <w:rFonts w:cs="David"/>
          <w:b/>
          <w:bCs/>
          <w:sz w:val="30"/>
          <w:szCs w:val="28"/>
          <w:rtl w:val="true"/>
        </w:rPr>
        <w:t> </w:t>
      </w:r>
    </w:p>
    <w:tbl>
      <w:tblPr>
        <w:tblW w:w="2802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Normal"/>
              <w:bidi w:val="1"/>
              <w:spacing w:before="0" w:after="0"/>
              <w:ind w:end="0"/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rFonts w:cs="David"/>
                <w:b/>
                <w:b/>
                <w:bCs/>
                <w:sz w:val="30"/>
                <w:sz w:val="30"/>
                <w:szCs w:val="28"/>
                <w:rtl w:val="true"/>
              </w:rPr>
              <w:t>מוסיה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30"/>
                <w:sz w:val="30"/>
                <w:szCs w:val="28"/>
                <w:rtl w:val="true"/>
              </w:rPr>
              <w:t>ארד</w:t>
            </w:r>
            <w:r>
              <w:rPr>
                <w:rFonts w:cs="David"/>
                <w:b/>
                <w:bCs/>
                <w:sz w:val="30"/>
                <w:szCs w:val="28"/>
                <w:rtl w:val="true"/>
              </w:rPr>
              <w:t xml:space="preserve">, </w:t>
            </w:r>
            <w:r>
              <w:rPr>
                <w:rFonts w:cs="David"/>
                <w:b/>
                <w:b/>
                <w:bCs/>
                <w:sz w:val="30"/>
                <w:sz w:val="30"/>
                <w:szCs w:val="28"/>
                <w:rtl w:val="true"/>
              </w:rPr>
              <w:t>סגנית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30"/>
                <w:sz w:val="30"/>
                <w:szCs w:val="28"/>
                <w:rtl w:val="true"/>
              </w:rPr>
              <w:t>נשיא</w:t>
            </w:r>
          </w:p>
        </w:tc>
      </w:tr>
    </w:tbl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bookmarkStart w:id="12" w:name="Decision1"/>
      <w:bookmarkEnd w:id="12"/>
      <w:r>
        <w:rPr>
          <w:rFonts w:cs="David"/>
          <w:sz w:val="20"/>
          <w:szCs w:val="28"/>
          <w:rtl w:val="true"/>
        </w:rPr>
        <w:t> </w:t>
      </w:r>
    </w:p>
    <w:p>
      <w:pPr>
        <w:pStyle w:val="Normal"/>
        <w:bidi w:val="1"/>
        <w:spacing w:before="280" w:after="280"/>
        <w:ind w:end="0"/>
        <w:jc w:val="start"/>
        <w:rPr>
          <w:sz w:val="20"/>
          <w:szCs w:val="28"/>
        </w:rPr>
      </w:pPr>
      <w:r>
        <w:rPr>
          <w:rFonts w:cs="David"/>
          <w:sz w:val="20"/>
          <w:sz w:val="20"/>
          <w:szCs w:val="28"/>
          <w:rtl w:val="true"/>
        </w:rPr>
        <w:t>נוסח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מסמך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זה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כפוף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לשינויי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ניסוח</w:t>
      </w:r>
      <w:r>
        <w:rPr>
          <w:sz w:val="20"/>
          <w:sz w:val="20"/>
          <w:szCs w:val="28"/>
          <w:rtl w:val="true"/>
        </w:rPr>
        <w:t xml:space="preserve"> </w:t>
      </w:r>
      <w:r>
        <w:rPr>
          <w:rFonts w:cs="David"/>
          <w:sz w:val="20"/>
          <w:sz w:val="20"/>
          <w:szCs w:val="28"/>
          <w:rtl w:val="true"/>
        </w:rPr>
        <w:t>ועריכה</w:t>
      </w:r>
    </w:p>
    <w:p>
      <w:pPr>
        <w:pStyle w:val="Normal"/>
        <w:bidi w:val="1"/>
        <w:spacing w:before="280" w:after="280"/>
        <w:ind w:end="0"/>
        <w:jc w:val="start"/>
        <w:rPr>
          <w:rFonts w:cs="David"/>
          <w:sz w:val="20"/>
          <w:szCs w:val="28"/>
        </w:rPr>
      </w:pPr>
      <w:r>
        <w:rPr>
          <w:rFonts w:cs="David"/>
          <w:sz w:val="20"/>
          <w:szCs w:val="28"/>
          <w:rtl w:val="true"/>
        </w:rPr>
      </w:r>
    </w:p>
    <w:sectPr>
      <w:headerReference w:type="default" r:id="rId2"/>
      <w:footerReference w:type="default" r:id="rId3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cs="FrankRuehl"/>
      </w:rPr>
    </w:pPr>
    <w:r>
      <w:rPr>
        <w:rFonts w:cs="FrankRuehl"/>
      </w:rPr>
      <w:fldChar w:fldCharType="begin"/>
    </w:r>
    <w:r>
      <w:rPr>
        <w:rFonts w:cs="FrankRuehl"/>
      </w:rPr>
      <w:instrText xml:space="preserve"> PAGE </w:instrText>
    </w:r>
    <w:r>
      <w:rPr>
        <w:rFonts w:cs="FrankRuehl"/>
      </w:rPr>
      <w:fldChar w:fldCharType="separate"/>
    </w:r>
    <w:r>
      <w:rPr>
        <w:rFonts w:cs="FrankRuehl"/>
      </w:rPr>
      <w:t>4</w:t>
    </w:r>
    <w:r>
      <w:rPr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color w:val="000000"/>
        <w:sz w:val="28"/>
        <w:sz w:val="28"/>
        <w:szCs w:val="22"/>
      </w:rPr>
      <w:t xml:space="preserve">  </w:t>
    </w:r>
    <w:r>
      <w:rPr>
        <w:rFonts w:cs="TopType Jerushalmi;Times New Roman"/>
        <w:color w:val="000000"/>
        <w:sz w:val="28"/>
        <w:szCs w:val="22"/>
      </w:rPr>
      <w:t xml:space="preserve">nevo.co.il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</w:rPr>
      <w:fldChar w:fldCharType="begin"/>
    </w:r>
    <w:r>
      <w:rPr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sz w:val="14"/>
        <w:szCs w:val="14"/>
        <w:rFonts w:cs="TopType Jerushalmi;Times New Roman"/>
        <w:color w:val="000000"/>
      </w:rPr>
      <w:fldChar w:fldCharType="separate"/>
    </w:r>
    <w:r>
      <w:rPr>
        <w:sz w:val="14"/>
        <w:szCs w:val="14"/>
        <w:rFonts w:cs="TopType Jerushalmi;Times New Roman"/>
        <w:color w:val="000000"/>
      </w:rPr>
      <w:t>/Users/liorb/Downloads/study2025-p2/m01001207.doc</w:t>
    </w:r>
    <w:r>
      <w:rPr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bidi w:val="1"/>
      <w:spacing w:lineRule="exact" w:line="220" w:before="0" w:after="280"/>
      <w:ind w:end="0"/>
      <w:jc w:val="start"/>
      <w:rPr>
        <w:color w:val="000000"/>
        <w:sz w:val="22"/>
        <w:szCs w:val="22"/>
      </w:rPr>
    </w:pPr>
    <w:r>
      <w:rPr>
        <w:rFonts w:cs="David"/>
        <w:color w:val="000000"/>
        <w:sz w:val="22"/>
        <w:sz w:val="22"/>
        <w:szCs w:val="22"/>
        <w:rtl w:val="true"/>
      </w:rPr>
      <w:t>תפ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rFonts w:cs="David"/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rFonts w:cs="David"/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1207/01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מדינת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ישראל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rFonts w:cs="David"/>
        <w:color w:val="000000"/>
        <w:sz w:val="22"/>
        <w:sz w:val="22"/>
        <w:szCs w:val="22"/>
        <w:rtl w:val="true"/>
      </w:rPr>
      <w:t>מליחאת</w:t>
    </w:r>
    <w:r>
      <w:rPr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 w:val="22"/>
        <w:szCs w:val="22"/>
        <w:rtl w:val="true"/>
      </w:rPr>
      <w:t>מחמד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ציטוט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80" w:after="280"/>
      <w:outlineLvl w:val="5"/>
    </w:pPr>
    <w:rPr>
      <w:b/>
      <w:bCs/>
      <w:sz w:val="15"/>
      <w:szCs w:val="15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pacing w:before="280" w:after="280"/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2010-03-14T03:43:00Z</dcterms:created>
  <dc:creator> </dc:creator>
  <dc:description/>
  <cp:keywords/>
  <dc:language>en-IL</dc:language>
  <cp:lastModifiedBy>eli</cp:lastModifiedBy>
  <cp:lastPrinted>2002-04-09T09:09:00Z</cp:lastPrinted>
  <dcterms:modified xsi:type="dcterms:W3CDTF">2010-03-14T03:43:00Z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מליחאת מחמד</vt:lpwstr>
  </property>
  <property fmtid="{D5CDD505-2E9C-101B-9397-08002B2CF9AE}" pid="4" name="CITY">
    <vt:lpwstr>י-ם</vt:lpwstr>
  </property>
  <property fmtid="{D5CDD505-2E9C-101B-9397-08002B2CF9AE}" pid="5" name="DATE">
    <vt:lpwstr>20020409</vt:lpwstr>
  </property>
  <property fmtid="{D5CDD505-2E9C-101B-9397-08002B2CF9AE}" pid="6" name="ISABSTRACT">
    <vt:lpwstr>Y</vt:lpwstr>
  </property>
  <property fmtid="{D5CDD505-2E9C-101B-9397-08002B2CF9AE}" pid="7" name="JUDGE">
    <vt:lpwstr>מוסיה ארד</vt:lpwstr>
  </property>
  <property fmtid="{D5CDD505-2E9C-101B-9397-08002B2CF9AE}" pid="8" name="LAWYER">
    <vt:lpwstr>מזאוי אסעד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1207</vt:lpwstr>
  </property>
  <property fmtid="{D5CDD505-2E9C-101B-9397-08002B2CF9AE}" pid="26" name="PROCYEAR">
    <vt:lpwstr>01</vt:lpwstr>
  </property>
  <property fmtid="{D5CDD505-2E9C-101B-9397-08002B2CF9AE}" pid="27" name="PSAKDIN">
    <vt:lpwstr>גזר-דין</vt:lpwstr>
  </property>
  <property fmtid="{D5CDD505-2E9C-101B-9397-08002B2CF9AE}" pid="28" name="TYPE">
    <vt:lpwstr>2</vt:lpwstr>
  </property>
  <property fmtid="{D5CDD505-2E9C-101B-9397-08002B2CF9AE}" pid="29" name="VOLUME">
    <vt:lpwstr/>
  </property>
  <property fmtid="{D5CDD505-2E9C-101B-9397-08002B2CF9AE}" pid="30" name="WORDNUMPAGES">
    <vt:lpwstr>3</vt:lpwstr>
  </property>
</Properties>
</file>