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tbl>
      <w:tblPr>
        <w:tblW w:w="874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97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001251/01</w:t>
            </w:r>
          </w:p>
        </w:tc>
        <w:tc>
          <w:tcPr>
            <w:tcW w:w="582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582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13/05/02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</w:p>
        </w:tc>
        <w:tc>
          <w:tcPr>
            <w:tcW w:w="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Heading7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2" w:name="FirstLawyer"/>
            <w:bookmarkEnd w:id="2"/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FirstAppellant"/>
            <w:bookmarkEnd w:id="3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8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שם_ב"/>
            <w:bookmarkEnd w:id="4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בדרין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גוש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9" w:name="PsakDin"/>
      <w:bookmarkEnd w:id="9"/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0" w:name="ABSTRACT_START"/>
      <w:bookmarkEnd w:id="10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bookmarkStart w:id="11" w:name="ABSTRACT_END"/>
      <w:bookmarkEnd w:id="11"/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שועפאט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FEG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הונגרי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לתינוק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מוטיבציה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להתקדמות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התחומים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הדואג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השגרתי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כמטפל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עידן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הזהב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ומעסיקו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דיווח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לקשישים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ומושיט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מתבקש</w:t>
      </w:r>
      <w:r>
        <w:rPr>
          <w:sz w:val="22"/>
          <w:szCs w:val="24"/>
          <w:rtl w:val="true"/>
        </w:rPr>
        <w:t xml:space="preserve">. </w:t>
      </w:r>
      <w:r>
        <w:rPr>
          <w:color w:val="FFFFFF"/>
          <w:sz w:val="4"/>
          <w:szCs w:val="4"/>
        </w:rPr>
        <w:t>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4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שלטונות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הוצג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כראייה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להניח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מפרסום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הכרוז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אגב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הוזכר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המקובלת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בתפקודו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והתקין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283/95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איברהים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קרג</w:t>
      </w:r>
      <w:r>
        <w:rPr>
          <w:sz w:val="22"/>
          <w:szCs w:val="24"/>
          <w:u w:val="single"/>
          <w:rtl w:val="true"/>
        </w:rPr>
        <w:t>'</w:t>
      </w:r>
      <w:r>
        <w:rPr>
          <w:sz w:val="22"/>
          <w:sz w:val="22"/>
          <w:szCs w:val="24"/>
          <w:u w:val="single"/>
          <w:rtl w:val="true"/>
        </w:rPr>
        <w:t>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316/98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פלוני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מאידך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2129/01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אבו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דוויח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ולמשפחתו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לחלוטין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נימוק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להפסיד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אובדן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כדלהלן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כעוזר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במועדוני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ההשמה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רשאי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ולדווח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מוסבר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צ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כסדרו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שפרטיו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מופיעים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2" w:name="Decision1"/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בסיון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13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2002</w:t>
      </w:r>
      <w:r>
        <w:rPr>
          <w:b/>
          <w:bCs/>
          <w:color w:val="000000"/>
          <w:sz w:val="22"/>
          <w:szCs w:val="24"/>
          <w:rtl w:val="true"/>
        </w:rPr>
        <w:t xml:space="preserve">),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הצדדים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3" w:name="Decision1"/>
      <w:r>
        <w:rPr>
          <w:sz w:val="22"/>
          <w:szCs w:val="24"/>
          <w:rtl w:val="true"/>
        </w:rPr>
        <w:t> </w:t>
      </w:r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/Users/liorb/Downloads/study2025-p2/m011251.doc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1251/01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בדרין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36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exact" w:line="320" w:before="0" w:after="80"/>
      <w:ind w:firstLine="283" w:start="0" w:end="0"/>
      <w:jc w:val="center"/>
      <w:outlineLvl w:val="7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צטוט"/>
    <w:basedOn w:val="Normal"/>
    <w:qFormat/>
    <w:pPr>
      <w:spacing w:lineRule="auto" w:line="360" w:before="0" w:after="120"/>
      <w:ind w:hanging="0" w:start="1134" w:end="1134"/>
      <w:jc w:val="both"/>
    </w:pPr>
    <w:rPr/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2003-05-13T13:12:00Z</dcterms:created>
  <dc:creator> </dc:creator>
  <dc:description/>
  <dc:language>en-IL</dc:language>
  <cp:lastModifiedBy>eli</cp:lastModifiedBy>
  <cp:lastPrinted>2002-05-08T14:15:00Z</cp:lastPrinted>
  <dcterms:modified xsi:type="dcterms:W3CDTF">2003-05-14T20:47:00Z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בדרין</vt:lpwstr>
  </property>
  <property fmtid="{D5CDD505-2E9C-101B-9397-08002B2CF9AE}" pid="4" name="CITY">
    <vt:lpwstr>י-ם</vt:lpwstr>
  </property>
  <property fmtid="{D5CDD505-2E9C-101B-9397-08002B2CF9AE}" pid="5" name="DATE">
    <vt:lpwstr>20020513</vt:lpwstr>
  </property>
  <property fmtid="{D5CDD505-2E9C-101B-9397-08002B2CF9AE}" pid="6" name="ISABSTRACT">
    <vt:lpwstr>Y</vt:lpwstr>
  </property>
  <property fmtid="{D5CDD505-2E9C-101B-9397-08002B2CF9AE}" pid="7" name="JUDGE">
    <vt:lpwstr>צבי זילברטל</vt:lpwstr>
  </property>
  <property fmtid="{D5CDD505-2E9C-101B-9397-08002B2CF9AE}" pid="8" name="LAWYER">
    <vt:lpwstr>אבו-גוש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1251</vt:lpwstr>
  </property>
  <property fmtid="{D5CDD505-2E9C-101B-9397-08002B2CF9AE}" pid="22" name="PROCYEAR">
    <vt:lpwstr>01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3</vt:lpwstr>
  </property>
</Properties>
</file>