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1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635"/>
        <w:gridCol w:w="406"/>
        <w:gridCol w:w="1571"/>
      </w:tblGrid>
      <w:tr>
        <w:trPr>
          <w:trHeight w:val="719" w:hRule="exact"/>
        </w:trPr>
        <w:tc>
          <w:tcPr>
            <w:tcW w:w="6635" w:type="dxa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  <w:tc>
          <w:tcPr>
            <w:tcW w:w="197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663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1001-05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מחלקה משפטית מכס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 שירותי כ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71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מוחמד מסארווה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באמצעות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המחלקה המשפטית לתיקים מיוחדים</w:t>
            </w:r>
            <w:r>
              <w:rPr>
                <w:b/>
                <w:bCs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הנהלת המכס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ק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שירותי כוח אדם בע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513415372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אצל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עאמר קעדאן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בקה אל גרביה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עאמר בן פריד קעדאן</w:t>
            </w:r>
            <w:r>
              <w:rPr>
                <w:b/>
                <w:bCs/>
                <w:rtl w:val="true"/>
              </w:rPr>
              <w:t xml:space="preserve">,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036510402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יליד </w:t>
            </w:r>
            <w:r>
              <w:rPr>
                <w:b/>
                <w:bCs/>
              </w:rPr>
              <w:t>1979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  </w:t>
            </w:r>
            <w:r>
              <w:rPr>
                <w:b/>
                <w:b/>
                <w:bCs/>
                <w:rtl w:val="true"/>
              </w:rPr>
              <w:t>בקה אל גרביה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גיל מסביר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סייף ותד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cs="Arial" w:ascii="Arial" w:hAnsi="Arial"/>
          <w:b/>
          <w:bCs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הנאשמים הורשעו</w:t>
      </w:r>
      <w:r>
        <w:rPr>
          <w:rtl w:val="true"/>
        </w:rPr>
        <w:t xml:space="preserve">, </w:t>
      </w:r>
      <w:r>
        <w:rPr>
          <w:rtl w:val="true"/>
        </w:rPr>
        <w:t>בהכרעת דין שניתנה בעניינם ע</w:t>
      </w:r>
      <w:r>
        <w:rPr>
          <w:rtl w:val="true"/>
        </w:rPr>
        <w:t>"</w:t>
      </w:r>
      <w:r>
        <w:rPr>
          <w:rtl w:val="true"/>
        </w:rPr>
        <w:t>י ביהמ</w:t>
      </w:r>
      <w:r>
        <w:rPr>
          <w:rtl w:val="true"/>
        </w:rPr>
        <w:t>"</w:t>
      </w:r>
      <w:r>
        <w:rPr>
          <w:rtl w:val="true"/>
        </w:rPr>
        <w:t xml:space="preserve">ש בעבירות של ניכוי מס תשומות מבלי שיש להם לגביו מסמך כאמור </w:t>
      </w:r>
      <w:hyperlink r:id="rId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מס ערך מוסף</w:t>
        </w:r>
      </w:hyperlink>
      <w:r>
        <w:rPr>
          <w:rtl w:val="true"/>
        </w:rPr>
        <w:t xml:space="preserve">, </w:t>
      </w:r>
      <w:r>
        <w:rPr>
          <w:rtl w:val="true"/>
        </w:rPr>
        <w:t>במטרה להתחמק או להשתמט מתשלום מס</w:t>
      </w:r>
      <w:r>
        <w:rPr>
          <w:rtl w:val="true"/>
        </w:rPr>
        <w:t xml:space="preserve">, </w:t>
      </w:r>
      <w:r>
        <w:rPr>
          <w:rtl w:val="true"/>
        </w:rPr>
        <w:t>בנסיבות מחמירות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עבירות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מס ערך מוסף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להלן 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 xml:space="preserve">ביחד עם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כי הם – הנאשמים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tl w:val="true"/>
        </w:rPr>
        <w:t xml:space="preserve">, </w:t>
      </w:r>
      <w:r>
        <w:rPr>
          <w:rtl w:val="true"/>
        </w:rPr>
        <w:t>ניהלו או הורשו להכין ולנהל פנקסי חשבונות כוזבים ו</w:t>
      </w:r>
      <w:r>
        <w:rPr>
          <w:rtl w:val="true"/>
        </w:rPr>
        <w:t>/</w:t>
      </w:r>
      <w:r>
        <w:rPr>
          <w:rtl w:val="true"/>
        </w:rPr>
        <w:t>או רשומות כוזבות במטרה להתחמק  או להשתמט מתשלום מס</w:t>
      </w:r>
      <w:r>
        <w:rPr>
          <w:rtl w:val="true"/>
        </w:rPr>
        <w:t xml:space="preserve">, </w:t>
      </w:r>
      <w:r>
        <w:rPr>
          <w:rtl w:val="true"/>
        </w:rPr>
        <w:t xml:space="preserve">עבירה על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1" w:name="ABSTRACT_END"/>
      <w:bookmarkEnd w:id="11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בעובדות האישום הראשון נמצא כי בחודש יוני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 xml:space="preserve">הקים הנאשם </w:t>
      </w:r>
      <w:r>
        <w:rPr/>
        <w:t>2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 xml:space="preserve">את הנאשמת </w:t>
      </w:r>
      <w:r>
        <w:rPr/>
        <w:t>1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הנאשמת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– </w:t>
      </w:r>
      <w:r>
        <w:rPr>
          <w:rtl w:val="true"/>
        </w:rPr>
        <w:t>חברה פרטית מוגבלת במניות הרשומה כעוסק מורשה תחת מספר רישומה כתאגיד ברשם החברות</w:t>
      </w:r>
      <w:r>
        <w:rPr>
          <w:rtl w:val="true"/>
        </w:rPr>
        <w:t xml:space="preserve">, </w:t>
      </w:r>
      <w:r>
        <w:rPr>
          <w:rtl w:val="true"/>
        </w:rPr>
        <w:t xml:space="preserve">עוסק מורשה לענין החוק – </w:t>
      </w:r>
      <w:hyperlink r:id="rId14">
        <w:r>
          <w:rPr>
            <w:rStyle w:val="Hyperlink"/>
            <w:rtl w:val="true"/>
          </w:rPr>
          <w:t>חוק מס ערך מוסף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ו –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בכל המועדים הרלבנטיים לכתב האישום שימש הנאשם כמנהלה הפעיל של הנאשמת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מתוך כוונה להתחמק מתשלום מס</w:t>
      </w:r>
      <w:r>
        <w:rPr>
          <w:rtl w:val="true"/>
        </w:rPr>
        <w:t xml:space="preserve">, </w:t>
      </w:r>
      <w:r>
        <w:rPr>
          <w:rtl w:val="true"/>
        </w:rPr>
        <w:t xml:space="preserve">קיבל הנאשם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מסמכים הנחזים להיות חשבוניות מס שהוצאו מבלי שנעשתה העסקה כמפורט בהן</w:t>
      </w:r>
      <w:r>
        <w:rPr>
          <w:rtl w:val="true"/>
        </w:rPr>
        <w:t xml:space="preserve">, </w:t>
      </w:r>
      <w:r>
        <w:rPr>
          <w:rtl w:val="true"/>
        </w:rPr>
        <w:t>ורשם אותן בספרי הנה</w:t>
      </w:r>
      <w:r>
        <w:rPr>
          <w:rtl w:val="true"/>
        </w:rPr>
        <w:t>"</w:t>
      </w:r>
      <w:r>
        <w:rPr>
          <w:rtl w:val="true"/>
        </w:rPr>
        <w:t xml:space="preserve">ח של הנאשמת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התשומות הפיקטיביות</w:t>
      </w:r>
      <w:r>
        <w:rPr>
          <w:b/>
          <w:bCs/>
          <w:rtl w:val="true"/>
        </w:rPr>
        <w:t>")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מנת להתחמק מתשלום מס ניכה הנאשם בדיווחיה של הנאשמת למנהל המע</w:t>
      </w:r>
      <w:r>
        <w:rPr>
          <w:rtl w:val="true"/>
        </w:rPr>
        <w:t>"</w:t>
      </w:r>
      <w:r>
        <w:rPr>
          <w:rtl w:val="true"/>
        </w:rPr>
        <w:t xml:space="preserve">מ בגין אותן תשומות פיקטיביות שניכו הנאשמים בסך של </w:t>
      </w:r>
      <w:r>
        <w:rPr/>
        <w:t>4,796,960</w:t>
      </w:r>
      <w:r>
        <w:rPr>
          <w:rtl w:val="true"/>
        </w:rPr>
        <w:t xml:space="preserve"> ₪ </w:t>
      </w:r>
      <w:r>
        <w:rPr>
          <w:rtl w:val="true"/>
        </w:rPr>
        <w:t xml:space="preserve">ומס תשומות על פיהן בסך </w:t>
      </w:r>
      <w:r>
        <w:rPr/>
        <w:t>731,740</w:t>
      </w:r>
      <w:r>
        <w:rPr>
          <w:rtl w:val="true"/>
        </w:rPr>
        <w:t xml:space="preserve"> ₪;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כמו כן הנאשמים הוציאו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חשבוניות מס בסך </w:t>
      </w:r>
      <w:r>
        <w:rPr/>
        <w:t>1,031,045</w:t>
      </w:r>
      <w:r>
        <w:rPr>
          <w:rtl w:val="true"/>
        </w:rPr>
        <w:t xml:space="preserve"> ₪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הנאשמת לגורמים שונים</w:t>
      </w:r>
      <w:r>
        <w:rPr>
          <w:rtl w:val="true"/>
        </w:rPr>
        <w:t xml:space="preserve">, </w:t>
      </w:r>
      <w:r>
        <w:rPr>
          <w:rtl w:val="true"/>
        </w:rPr>
        <w:t>מבלי שעשו או שהתכוונו לעשות עסקה לגביהן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החשבוניות הפיקטיביות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מתוך כוונה להתחמק מתשלום מס</w:t>
      </w:r>
      <w:r>
        <w:rPr>
          <w:rtl w:val="true"/>
        </w:rPr>
        <w:t xml:space="preserve">, </w:t>
      </w:r>
      <w:r>
        <w:rPr>
          <w:rtl w:val="true"/>
        </w:rPr>
        <w:t xml:space="preserve">ובמעשיהם אלו גרמו נזק לקופת המדינה בהיקף של </w:t>
      </w:r>
      <w:r>
        <w:rPr/>
        <w:t>155,625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באישום השני הורשעו הנאשמים בכך שפעלו במטרה להביא לכך שאדם אחר יתחמק או ישתמט מתשלום מס</w:t>
      </w:r>
      <w:r>
        <w:rPr>
          <w:rtl w:val="true"/>
        </w:rPr>
        <w:t xml:space="preserve">, </w:t>
      </w:r>
      <w:r>
        <w:rPr>
          <w:rtl w:val="true"/>
        </w:rPr>
        <w:t>אותו הוא חייב לשלם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עבירות על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העובדות כמפורט באישום השני</w:t>
      </w:r>
      <w:r>
        <w:rPr>
          <w:rtl w:val="true"/>
        </w:rPr>
        <w:t xml:space="preserve">, </w:t>
      </w:r>
      <w:r>
        <w:rPr>
          <w:rtl w:val="true"/>
        </w:rPr>
        <w:t>ובאישום השלישי</w:t>
      </w:r>
      <w:r>
        <w:rPr>
          <w:rtl w:val="true"/>
        </w:rPr>
        <w:t xml:space="preserve">, </w:t>
      </w:r>
      <w:r>
        <w:rPr>
          <w:rtl w:val="true"/>
        </w:rPr>
        <w:t>הורשעו הנאשמים בכך שהשתמשו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או תחבולה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כך שהרשו לאחר לעשות מעשה במטרה להתחמק ולהשתמט מתשלום מס</w:t>
      </w:r>
      <w:r>
        <w:rPr>
          <w:rtl w:val="true"/>
        </w:rPr>
        <w:t xml:space="preserve">, </w:t>
      </w:r>
      <w:r>
        <w:rPr>
          <w:rtl w:val="true"/>
        </w:rPr>
        <w:t xml:space="preserve">עבירה על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 מס ערך מוסף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ובאישום הרביעי הורשעו הנאשמים באי הגשה במועד של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על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בטיעוניה לעונש</w:t>
      </w:r>
      <w:r>
        <w:rPr>
          <w:rtl w:val="true"/>
        </w:rPr>
        <w:t xml:space="preserve">, </w:t>
      </w:r>
      <w:r>
        <w:rPr>
          <w:rtl w:val="true"/>
        </w:rPr>
        <w:t xml:space="preserve">הדגישה באת כוח המאשימה כי במעשיהם אלו של הנאשמים גרמו נזק לאוצר המדינה בהיקף של כ – </w:t>
      </w:r>
      <w:r>
        <w:rPr/>
        <w:t>912,000</w:t>
      </w:r>
      <w:r>
        <w:rPr>
          <w:rtl w:val="true"/>
        </w:rPr>
        <w:t xml:space="preserve"> ₪, </w:t>
      </w:r>
      <w:r>
        <w:rPr>
          <w:rtl w:val="true"/>
        </w:rPr>
        <w:t>נזק שלא תוקן עד 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בהן הורשעו הנאשמים חמורות הן</w:t>
      </w:r>
      <w:r>
        <w:rPr>
          <w:rtl w:val="true"/>
        </w:rPr>
        <w:t xml:space="preserve">, </w:t>
      </w:r>
      <w:r>
        <w:rPr>
          <w:rtl w:val="true"/>
        </w:rPr>
        <w:t>המחייבות כוונה להתחמק מתשלום המס</w:t>
      </w:r>
      <w:r>
        <w:rPr>
          <w:rtl w:val="true"/>
        </w:rPr>
        <w:t xml:space="preserve">, </w:t>
      </w:r>
      <w:r>
        <w:rPr>
          <w:rtl w:val="true"/>
        </w:rPr>
        <w:t xml:space="preserve">שהעונש המירבי לצידה של כל אחת מן העבירות הוא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מדובר במעידה חד פעמית</w:t>
      </w:r>
      <w:r>
        <w:rPr>
          <w:rtl w:val="true"/>
        </w:rPr>
        <w:t xml:space="preserve">, </w:t>
      </w:r>
      <w:r>
        <w:rPr>
          <w:rtl w:val="true"/>
        </w:rPr>
        <w:t>הנאשמים אימצו מעשה העבירות כשיטת עבודה בניהול עסקיהם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 העליון הדגיש החומרה שבביצוע עבירות כלכליות מסוג זה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באת כוח המאשימה</w:t>
      </w:r>
      <w:r>
        <w:rPr>
          <w:rtl w:val="true"/>
        </w:rPr>
        <w:t xml:space="preserve">, </w:t>
      </w:r>
      <w:r>
        <w:rPr>
          <w:rtl w:val="true"/>
        </w:rPr>
        <w:t>תוך ציטוט מפסיקת בתי המשפט</w:t>
      </w:r>
      <w:r>
        <w:rPr>
          <w:rtl w:val="true"/>
        </w:rPr>
        <w:t xml:space="preserve">, </w:t>
      </w:r>
      <w:r>
        <w:rPr>
          <w:rtl w:val="true"/>
        </w:rPr>
        <w:t>מבקשת להגדיר את העבירה של הפצת חשבוניות פיקטיביות כאבי אבות הטומאה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 מבקשת להדגיש כי הנאשמים לא תיקנו הנזק שגרמו לקופת המדינה ולא הסירו את המחדלים</w:t>
      </w:r>
      <w:r>
        <w:rPr>
          <w:rtl w:val="true"/>
        </w:rPr>
        <w:t xml:space="preserve">, </w:t>
      </w:r>
      <w:r>
        <w:rPr>
          <w:rtl w:val="true"/>
        </w:rPr>
        <w:t>ומכאן שבהתאם להלכות שנפסקו לאורך השנים</w:t>
      </w:r>
      <w:r>
        <w:rPr>
          <w:rtl w:val="true"/>
        </w:rPr>
        <w:t xml:space="preserve">, </w:t>
      </w:r>
      <w:r>
        <w:rPr>
          <w:rtl w:val="true"/>
        </w:rPr>
        <w:t>בבתי המשפט שהעונש הראוי הוא מאסר בפועל לתקופה ממושכת וקנס כספי גבוה להפוך העבירה לבלתי כדאית לעבריין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באת כוח המאשימה מבקשת להשית על הנאשם מאסר בפועל לתקופה ממושכת</w:t>
      </w:r>
      <w:r>
        <w:rPr>
          <w:rtl w:val="true"/>
        </w:rPr>
        <w:t xml:space="preserve">, </w:t>
      </w:r>
      <w:r>
        <w:rPr>
          <w:rtl w:val="true"/>
        </w:rPr>
        <w:t>מאסר על תנאי מרתיע וקנס כספי גבוה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מבקש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להדגיש שהענישה בישראל ובבתי המשפט היא ענישה אינדבידואלית</w:t>
      </w:r>
      <w:r>
        <w:rPr>
          <w:rtl w:val="true"/>
        </w:rPr>
        <w:t xml:space="preserve">, </w:t>
      </w:r>
      <w:r>
        <w:rPr>
          <w:rtl w:val="true"/>
        </w:rPr>
        <w:t xml:space="preserve">מדובר בעבירות מהשנים </w:t>
      </w:r>
      <w:r>
        <w:rPr/>
        <w:t>2003-2004</w:t>
      </w:r>
      <w:r>
        <w:rPr>
          <w:rtl w:val="true"/>
        </w:rPr>
        <w:t xml:space="preserve">, </w:t>
      </w:r>
      <w:r>
        <w:rPr>
          <w:rtl w:val="true"/>
        </w:rPr>
        <w:t xml:space="preserve">ומאז חלפו להן כ –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בינתיים הנאשם התחתן ונולד לו בן</w:t>
      </w:r>
      <w:r>
        <w:rPr>
          <w:rtl w:val="true"/>
        </w:rPr>
        <w:t xml:space="preserve">, </w:t>
      </w:r>
      <w:r>
        <w:rPr>
          <w:rtl w:val="true"/>
        </w:rPr>
        <w:t>נסיבות שיש בהן כדי לשנות את חייו לטובה ולחיוב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 אין עבר פלילי מכל סוג</w:t>
      </w:r>
      <w:r>
        <w:rPr>
          <w:rtl w:val="true"/>
        </w:rPr>
        <w:t xml:space="preserve">, </w:t>
      </w:r>
      <w:r>
        <w:rPr>
          <w:rtl w:val="true"/>
        </w:rPr>
        <w:t>וכפי שעולה מעדותו של עד האופי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אבו מוך</w:t>
      </w:r>
      <w:r>
        <w:rPr>
          <w:rtl w:val="true"/>
        </w:rPr>
        <w:t xml:space="preserve">, </w:t>
      </w:r>
      <w:r>
        <w:rPr>
          <w:rtl w:val="true"/>
        </w:rPr>
        <w:t>הוא נישא לפני כשנה</w:t>
      </w:r>
      <w:r>
        <w:rPr>
          <w:rtl w:val="true"/>
        </w:rPr>
        <w:t xml:space="preserve">, </w:t>
      </w:r>
      <w:r>
        <w:rPr>
          <w:rtl w:val="true"/>
        </w:rPr>
        <w:t>ולאחרונה נולד לבני הזוג בנם הבכור</w:t>
      </w:r>
      <w:r>
        <w:rPr>
          <w:rtl w:val="true"/>
        </w:rPr>
        <w:t xml:space="preserve">, </w:t>
      </w:r>
      <w:r>
        <w:rPr>
          <w:rtl w:val="true"/>
        </w:rPr>
        <w:t>אשתו של הנאשם הכירה אותו מלפני כשש שנים</w:t>
      </w:r>
      <w:r>
        <w:rPr>
          <w:rtl w:val="true"/>
        </w:rPr>
        <w:t xml:space="preserve">, </w:t>
      </w:r>
      <w:r>
        <w:rPr>
          <w:rtl w:val="true"/>
        </w:rPr>
        <w:t>חמש שנים מתוכן היו מאורסים לאחרונה נישאו ונולד בנם בכורם</w:t>
      </w:r>
      <w:r>
        <w:rPr>
          <w:rtl w:val="true"/>
        </w:rPr>
        <w:t xml:space="preserve">, </w:t>
      </w:r>
      <w:r>
        <w:rPr>
          <w:rtl w:val="true"/>
        </w:rPr>
        <w:t>אשתו עובדת מזה שנים במשרדו של עו</w:t>
      </w:r>
      <w:r>
        <w:rPr>
          <w:rtl w:val="true"/>
        </w:rPr>
        <w:t>"</w:t>
      </w:r>
      <w:r>
        <w:rPr>
          <w:rtl w:val="true"/>
        </w:rPr>
        <w:t>ד אבו מוך ומשם הוא הכיר את משפחת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אביו של הנאשם היה קבלן בנין בהיקף גדול</w:t>
      </w:r>
      <w:r>
        <w:rPr>
          <w:rtl w:val="true"/>
        </w:rPr>
        <w:t xml:space="preserve">, </w:t>
      </w:r>
      <w:r>
        <w:rPr>
          <w:rtl w:val="true"/>
        </w:rPr>
        <w:t>אלא שעסקו קרס עקב מחלתו של האב</w:t>
      </w:r>
      <w:r>
        <w:rPr>
          <w:rtl w:val="true"/>
        </w:rPr>
        <w:t xml:space="preserve">, </w:t>
      </w:r>
      <w:r>
        <w:rPr>
          <w:rtl w:val="true"/>
        </w:rPr>
        <w:t>מצב המשפחה הכלכלי התדרדר ועל רקע קריסה כלכלית זו נעברו העבירות בהן הורשע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לאבחן עניינו של הנאשם ממקרים שהובאו בפסיקה שצוטטה ע</w:t>
      </w:r>
      <w:r>
        <w:rPr>
          <w:rtl w:val="true"/>
        </w:rPr>
        <w:t>"</w:t>
      </w:r>
      <w:r>
        <w:rPr>
          <w:rtl w:val="true"/>
        </w:rPr>
        <w:t>י התביעה</w:t>
      </w:r>
      <w:r>
        <w:rPr>
          <w:rtl w:val="true"/>
        </w:rPr>
        <w:t xml:space="preserve">, </w:t>
      </w:r>
      <w:r>
        <w:rPr>
          <w:rtl w:val="true"/>
        </w:rPr>
        <w:t>והסנגור המלומד הציג פסיקה גם מבימ</w:t>
      </w:r>
      <w:r>
        <w:rPr>
          <w:rtl w:val="true"/>
        </w:rPr>
        <w:t>"</w:t>
      </w:r>
      <w:r>
        <w:rPr>
          <w:rtl w:val="true"/>
        </w:rPr>
        <w:t>ש זה</w:t>
      </w:r>
      <w:r>
        <w:rPr>
          <w:rtl w:val="true"/>
        </w:rPr>
        <w:t xml:space="preserve">, </w:t>
      </w:r>
      <w:r>
        <w:rPr>
          <w:rtl w:val="true"/>
        </w:rPr>
        <w:t>ממנה עולה שבעבירות מסוג העבירות בהן הורשע הנאשם ובהיקף שכזה הושתו עונשי מאסר מתונים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מאסר בפועל חמור שיוטל על הנאשם יפגע יותר משהוא יפגע בנאשם</w:t>
      </w:r>
      <w:r>
        <w:rPr>
          <w:rtl w:val="true"/>
        </w:rPr>
        <w:t xml:space="preserve">, </w:t>
      </w:r>
      <w:r>
        <w:rPr>
          <w:rtl w:val="true"/>
        </w:rPr>
        <w:t>באשתו ובבנו שרק זה עתה פקח את עיניו לעולם</w:t>
      </w:r>
      <w:r>
        <w:rPr>
          <w:rtl w:val="true"/>
        </w:rPr>
        <w:t xml:space="preserve">. </w:t>
      </w:r>
      <w:r>
        <w:rPr>
          <w:rtl w:val="true"/>
        </w:rPr>
        <w:t>הנזק שייגרם למשפחתו הגרעינית ולמשפחתו המורחבת עלול להיות בלתי הפיך וימוטט את כל מרכיבי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מבקש לתת לנאשם הזדמנות שניה ולא למצות הדין עם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בהתחשב בחומרת העבירות</w:t>
      </w:r>
      <w:r>
        <w:rPr>
          <w:rtl w:val="true"/>
        </w:rPr>
        <w:t xml:space="preserve">, </w:t>
      </w:r>
      <w:r>
        <w:rPr>
          <w:rtl w:val="true"/>
        </w:rPr>
        <w:t>התמשכותן והיקפן של העבירות בהן הורשעו הנאשמים</w:t>
      </w:r>
      <w:r>
        <w:rPr>
          <w:rtl w:val="true"/>
        </w:rPr>
        <w:t xml:space="preserve">, </w:t>
      </w:r>
      <w:r>
        <w:rPr>
          <w:rtl w:val="true"/>
        </w:rPr>
        <w:t>טיעוני ב</w:t>
      </w:r>
      <w:r>
        <w:rPr>
          <w:rtl w:val="true"/>
        </w:rPr>
        <w:t>"</w:t>
      </w:r>
      <w:r>
        <w:rPr>
          <w:rtl w:val="true"/>
        </w:rPr>
        <w:t>כ המאשימה מחד</w:t>
      </w:r>
      <w:r>
        <w:rPr>
          <w:rtl w:val="true"/>
        </w:rPr>
        <w:t xml:space="preserve">, </w:t>
      </w:r>
      <w:r>
        <w:rPr>
          <w:rtl w:val="true"/>
        </w:rPr>
        <w:t>בטיעוני ב</w:t>
      </w:r>
      <w:r>
        <w:rPr>
          <w:rtl w:val="true"/>
        </w:rPr>
        <w:t>"</w:t>
      </w:r>
      <w:r>
        <w:rPr>
          <w:rtl w:val="true"/>
        </w:rPr>
        <w:t>כ הנאשמים</w:t>
      </w:r>
      <w:r>
        <w:rPr>
          <w:rtl w:val="true"/>
        </w:rPr>
        <w:t xml:space="preserve">, </w:t>
      </w:r>
      <w:r>
        <w:rPr>
          <w:rtl w:val="true"/>
        </w:rPr>
        <w:t>נסיבותיו האישיות והמשפחתיות של הנאשם מאידך</w:t>
      </w:r>
      <w:r>
        <w:rPr>
          <w:rtl w:val="true"/>
        </w:rPr>
        <w:t xml:space="preserve">, </w:t>
      </w:r>
      <w:r>
        <w:rPr>
          <w:rtl w:val="true"/>
        </w:rPr>
        <w:t>אני גוזר על 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 xml:space="preserve">על הנאשמת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שאינה פעילה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תשלום קנס של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אשר ישולמו ע</w:t>
      </w:r>
      <w:r>
        <w:rPr>
          <w:rtl w:val="true"/>
        </w:rPr>
        <w:t>"</w:t>
      </w:r>
      <w:r>
        <w:rPr>
          <w:rtl w:val="true"/>
        </w:rPr>
        <w:t xml:space="preserve">י הנאשמת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 xml:space="preserve">על הנאשם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מאסר על תנאי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ישא בו אלא אם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שחרורו ממאסר</w:t>
      </w:r>
      <w:r>
        <w:rPr>
          <w:rtl w:val="true"/>
        </w:rPr>
        <w:t xml:space="preserve">, </w:t>
      </w:r>
      <w:r>
        <w:rPr>
          <w:rtl w:val="true"/>
        </w:rPr>
        <w:t>עבירה מסוג העבירות בהן הורשע הנאשם ויורשע בה בין בתקופת התנאי ובין 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תשלום קנס כספי בשיעור של 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תחתיו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 ישולם ע</w:t>
      </w:r>
      <w:r>
        <w:rPr>
          <w:rtl w:val="true"/>
        </w:rPr>
        <w:t>"</w:t>
      </w:r>
      <w:r>
        <w:rPr>
          <w:rtl w:val="true"/>
        </w:rPr>
        <w:t xml:space="preserve">י הנאשם בתשלומים חודשיים שווים ורצופים של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כל אחד החל מיום </w:t>
      </w:r>
      <w:r>
        <w:rPr/>
        <w:t>1.1.12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הודעה לצדדים זכות ערעור על פסה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 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ש המחוזי בחיפה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</w:t>
      </w:r>
      <w:r>
        <w:rPr>
          <w:b/>
          <w:bCs/>
        </w:rPr>
        <w:t>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לבקשת ב</w:t>
      </w:r>
      <w:r>
        <w:rPr>
          <w:rtl w:val="true"/>
        </w:rPr>
        <w:t>"</w:t>
      </w:r>
      <w:r>
        <w:rPr>
          <w:rtl w:val="true"/>
        </w:rPr>
        <w:t>כ הנאשמים וחרף התנגדות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אני מורה כי כנגד חתימת ערב צד 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150,000</w:t>
      </w:r>
      <w:r>
        <w:rPr>
          <w:rtl w:val="true"/>
        </w:rPr>
        <w:t xml:space="preserve"> ₪ </w:t>
      </w:r>
      <w:r>
        <w:rPr>
          <w:rtl w:val="true"/>
        </w:rPr>
        <w:t xml:space="preserve">וערבות בנקאית שתומצא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מהיום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אני מעכב ביצוע גזה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 –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הערבות הבנקאית כאמור תומצא לתיק ביהמ</w:t>
      </w:r>
      <w:r>
        <w:rPr>
          <w:rtl w:val="true"/>
        </w:rPr>
        <w:t>"</w:t>
      </w:r>
      <w:r>
        <w:rPr>
          <w:rtl w:val="true"/>
        </w:rPr>
        <w:t xml:space="preserve">ש תוך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 ובינתיים פסה</w:t>
      </w:r>
      <w:r>
        <w:rPr>
          <w:rtl w:val="true"/>
        </w:rPr>
        <w:t>"</w:t>
      </w:r>
      <w:r>
        <w:rPr>
          <w:rtl w:val="true"/>
        </w:rPr>
        <w:t>ד מעוכב בהתאם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</w:t>
      </w:r>
      <w:r>
        <w:rPr>
          <w:b/>
          <w:bCs/>
        </w:rPr>
        <w:t>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ניתן בזה צו עיכוב יציאה מן הארץ כנגד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עאמר פריד קעדאן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036510402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אחיו של הנאשם</w:t>
      </w:r>
      <w:r>
        <w:rPr>
          <w:rtl w:val="true"/>
        </w:rPr>
        <w:t xml:space="preserve">, </w:t>
      </w:r>
      <w:r>
        <w:rPr>
          <w:rtl w:val="true"/>
        </w:rPr>
        <w:t>קעדאן רומל ת</w:t>
      </w:r>
      <w:r>
        <w:rPr>
          <w:rtl w:val="true"/>
        </w:rPr>
        <w:t>.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/>
        <w:t>026199182</w:t>
      </w:r>
      <w:r>
        <w:rPr>
          <w:rtl w:val="true"/>
        </w:rPr>
        <w:t xml:space="preserve">, </w:t>
      </w:r>
      <w:r>
        <w:rPr>
          <w:rtl w:val="true"/>
        </w:rPr>
        <w:t>יחתום כערב צד ג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</w:t>
      </w:r>
      <w:r>
        <w:rPr>
          <w:b/>
          <w:bCs/>
        </w:rPr>
        <w:t>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מוחמד מסארווה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(</w:t>
      </w:r>
      <w:r>
        <w:rPr>
          <w:rtl w:val="true"/>
        </w:rPr>
        <w:t>הפרוטוקול   גזה</w:t>
      </w:r>
      <w:r>
        <w:rPr>
          <w:rtl w:val="true"/>
        </w:rPr>
        <w:t>"</w:t>
      </w:r>
      <w:r>
        <w:rPr>
          <w:rtl w:val="true"/>
        </w:rPr>
        <w:t>ד הוקראו לנאשמים מהטיוטא עקב תקלת מחשוב</w:t>
      </w:r>
      <w:r>
        <w:rPr>
          <w:rtl w:val="true"/>
        </w:rPr>
        <w:t xml:space="preserve">, </w:t>
      </w:r>
      <w:r>
        <w:rPr>
          <w:rtl w:val="true"/>
        </w:rPr>
        <w:t xml:space="preserve">והוקלדו היום </w:t>
      </w:r>
      <w:r>
        <w:rPr/>
        <w:t>21.7.2011</w:t>
      </w:r>
      <w:r>
        <w:rPr>
          <w:rtl w:val="true"/>
        </w:rPr>
        <w:t xml:space="preserve"> </w:t>
      </w:r>
      <w:r>
        <w:rPr>
          <w:rtl w:val="true"/>
        </w:rPr>
        <w:t>למערכת נט המשפט</w:t>
      </w:r>
      <w:r>
        <w:rPr>
          <w:rtl w:val="true"/>
        </w:rPr>
        <w:t>)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סגל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1001-05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ר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ק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שירותי כוח אדם 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38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7.b.5" TargetMode="External"/><Relationship Id="rId6" Type="http://schemas.openxmlformats.org/officeDocument/2006/relationships/hyperlink" Target="http://www.nevo.co.il/law/72813/117.b.6" TargetMode="External"/><Relationship Id="rId7" Type="http://schemas.openxmlformats.org/officeDocument/2006/relationships/hyperlink" Target="http://www.nevo.co.il/law/72813/117.b.8" TargetMode="External"/><Relationship Id="rId8" Type="http://schemas.openxmlformats.org/officeDocument/2006/relationships/hyperlink" Target="http://www.nevo.co.il/law/72813/117.b2.3" TargetMode="External"/><Relationship Id="rId9" Type="http://schemas.openxmlformats.org/officeDocument/2006/relationships/hyperlink" Target="http://www.nevo.co.il/law/72813/38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/117.b.5" TargetMode="External"/><Relationship Id="rId12" Type="http://schemas.openxmlformats.org/officeDocument/2006/relationships/hyperlink" Target="http://www.nevo.co.il/law/72813/117.b2.3" TargetMode="External"/><Relationship Id="rId13" Type="http://schemas.openxmlformats.org/officeDocument/2006/relationships/hyperlink" Target="http://www.nevo.co.il/law/72813/117.b.6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law/72813/117.b.5" TargetMode="External"/><Relationship Id="rId16" Type="http://schemas.openxmlformats.org/officeDocument/2006/relationships/hyperlink" Target="http://www.nevo.co.il/law/72813/117.b.8" TargetMode="External"/><Relationship Id="rId17" Type="http://schemas.openxmlformats.org/officeDocument/2006/relationships/hyperlink" Target="http://www.nevo.co.il/law/72813" TargetMode="External"/><Relationship Id="rId18" Type="http://schemas.openxmlformats.org/officeDocument/2006/relationships/hyperlink" Target="http://www.nevo.co.il/law/72813/117.a.6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2016-05-28T20:58:00Z</dcterms:created>
  <dc:creator> </dc:creator>
  <dc:description/>
  <cp:keywords/>
  <dc:language>en-IL</dc:language>
  <cp:lastModifiedBy>yafit</cp:lastModifiedBy>
  <dcterms:modified xsi:type="dcterms:W3CDTF">2016-05-28T20:58:00Z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ישראל;המחלקה המשפטית לתיקים מיוחדים;הנהלת המכס</vt:lpwstr>
  </property>
  <property fmtid="{D5CDD505-2E9C-101B-9397-08002B2CF9AE}" pid="3" name="APPELLEE">
    <vt:lpwstr>א.ר.ק. שירותי כוח אדם בע"מ;אצל;עאמר קעדאן, בקה אל גרביה;עאמר בן פריד קעדאן;יליד 1979</vt:lpwstr>
  </property>
  <property fmtid="{D5CDD505-2E9C-101B-9397-08002B2CF9AE}" pid="4" name="CITY">
    <vt:lpwstr>חד'</vt:lpwstr>
  </property>
  <property fmtid="{D5CDD505-2E9C-101B-9397-08002B2CF9AE}" pid="5" name="DATE">
    <vt:lpwstr>20110711</vt:lpwstr>
  </property>
  <property fmtid="{D5CDD505-2E9C-101B-9397-08002B2CF9AE}" pid="6" name="ISABSTRACT">
    <vt:lpwstr>Y</vt:lpwstr>
  </property>
  <property fmtid="{D5CDD505-2E9C-101B-9397-08002B2CF9AE}" pid="7" name="JUDGE">
    <vt:lpwstr>מוחמד מסארווה</vt:lpwstr>
  </property>
  <property fmtid="{D5CDD505-2E9C-101B-9397-08002B2CF9AE}" pid="8" name="LAWLISTTMP1">
    <vt:lpwstr>72813/038;117.b.5:2;117.b2.3;117.b.6;117.b.8;117.a.6</vt:lpwstr>
  </property>
  <property fmtid="{D5CDD505-2E9C-101B-9397-08002B2CF9AE}" pid="9" name="LAWYER">
    <vt:lpwstr>גיל מסביר;סייף ותד</vt:lpwstr>
  </property>
  <property fmtid="{D5CDD505-2E9C-101B-9397-08002B2CF9AE}" pid="10" name="NEWPARTA">
    <vt:lpwstr>1001</vt:lpwstr>
  </property>
  <property fmtid="{D5CDD505-2E9C-101B-9397-08002B2CF9AE}" pid="11" name="NEWPARTB">
    <vt:lpwstr/>
  </property>
  <property fmtid="{D5CDD505-2E9C-101B-9397-08002B2CF9AE}" pid="12" name="NEWPARTC">
    <vt:lpwstr>05</vt:lpwstr>
  </property>
  <property fmtid="{D5CDD505-2E9C-101B-9397-08002B2CF9AE}" pid="13" name="NEWPROC">
    <vt:lpwstr>תפ</vt:lpwstr>
  </property>
  <property fmtid="{D5CDD505-2E9C-101B-9397-08002B2CF9AE}" pid="14" name="PROCNUM">
    <vt:lpwstr>1001</vt:lpwstr>
  </property>
  <property fmtid="{D5CDD505-2E9C-101B-9397-08002B2CF9AE}" pid="15" name="PROCYEAR">
    <vt:lpwstr>05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380020110711</vt:lpwstr>
  </property>
  <property fmtid="{D5CDD505-2E9C-101B-9397-08002B2CF9AE}" pid="19" name="TYPE_N_DATE">
    <vt:lpwstr>38020110711</vt:lpwstr>
  </property>
  <property fmtid="{D5CDD505-2E9C-101B-9397-08002B2CF9AE}" pid="20" name="WORDNUMPAGES">
    <vt:lpwstr>5</vt:lpwstr>
  </property>
</Properties>
</file>