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בעכו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10046-07-08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בכרי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ינואר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856"/>
        <w:gridCol w:w="239"/>
        <w:gridCol w:w="2625"/>
      </w:tblGrid>
      <w:tr>
        <w:trPr>
          <w:trHeight w:val="337" w:hRule="atLeast"/>
        </w:trPr>
        <w:tc>
          <w:tcPr>
            <w:tcW w:w="585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רונית בש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25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רגאב בכרי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spacing w:lineRule="auto" w:line="360"/>
        <w:ind w:end="0"/>
        <w:jc w:val="both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spacing w:lineRule="auto" w:line="360"/>
        <w:ind w:end="0"/>
        <w:jc w:val="both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גב</w:t>
      </w:r>
      <w:r>
        <w:rPr>
          <w:b w:val="false"/>
          <w:bCs w:val="false"/>
          <w:u w:val="none"/>
          <w:rtl w:val="true"/>
        </w:rPr>
        <w:t xml:space="preserve">' </w:t>
      </w:r>
      <w:r>
        <w:rPr>
          <w:b w:val="false"/>
          <w:b w:val="false"/>
          <w:bCs w:val="false"/>
          <w:u w:val="none"/>
          <w:rtl w:val="true"/>
        </w:rPr>
        <w:t>נעמה סולומון</w:t>
      </w:r>
    </w:p>
    <w:p>
      <w:pPr>
        <w:pStyle w:val="12"/>
        <w:spacing w:lineRule="auto" w:line="360"/>
        <w:ind w:end="0"/>
        <w:jc w:val="both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הנאשם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נוכח </w:t>
      </w:r>
    </w:p>
    <w:p>
      <w:pPr>
        <w:pStyle w:val="12"/>
        <w:spacing w:lineRule="auto" w:line="360"/>
        <w:ind w:end="0"/>
        <w:jc w:val="both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הסניגור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נוכח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חנא בולוס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ס</w:t>
      </w:r>
      <w:r>
        <w:rPr>
          <w:b w:val="false"/>
          <w:bCs w:val="false"/>
          <w:u w:val="none"/>
          <w:rtl w:val="true"/>
        </w:rPr>
        <w:t xml:space="preserve">. </w:t>
      </w:r>
      <w:r>
        <w:rPr>
          <w:b w:val="false"/>
          <w:b w:val="false"/>
          <w:bCs w:val="false"/>
          <w:u w:val="none"/>
          <w:rtl w:val="true"/>
        </w:rPr>
        <w:t xml:space="preserve">ציבורי </w:t>
      </w:r>
      <w:bookmarkStart w:id="4" w:name="LawTable"/>
      <w:bookmarkEnd w:id="4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340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5" w:name="LawTable_End"/>
      <w:bookmarkStart w:id="6" w:name="LawTable_End"/>
      <w:bookmarkEnd w:id="6"/>
    </w:p>
    <w:p>
      <w:pPr>
        <w:pStyle w:val="12"/>
        <w:spacing w:lineRule="auto" w:line="360"/>
        <w:ind w:end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end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  <w:t xml:space="preserve"> </w:t>
      </w:r>
    </w:p>
    <w:p>
      <w:pPr>
        <w:pStyle w:val="12"/>
        <w:spacing w:lineRule="auto" w:line="360"/>
        <w:ind w:end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end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7" w:name="LastJudge"/>
      <w:bookmarkStart w:id="8" w:name="PsakDin"/>
      <w:bookmarkEnd w:id="7"/>
      <w:bookmarkEnd w:id="8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bCs/>
          <w:szCs w:val="28"/>
          <w:u w:val="single"/>
        </w:rPr>
      </w:pPr>
      <w:bookmarkStart w:id="9" w:name="PsakDin"/>
      <w:bookmarkEnd w:id="9"/>
      <w:r>
        <w:rPr>
          <w:bCs/>
          <w:szCs w:val="28"/>
          <w:rtl w:val="true"/>
        </w:rPr>
        <w:t>א</w:t>
      </w:r>
      <w:r>
        <w:rPr>
          <w:bCs/>
          <w:szCs w:val="28"/>
          <w:rtl w:val="true"/>
        </w:rPr>
        <w:t>.</w:t>
        <w:tab/>
      </w:r>
      <w:r>
        <w:rPr>
          <w:bCs/>
          <w:szCs w:val="28"/>
          <w:u w:val="single"/>
          <w:rtl w:val="true"/>
        </w:rPr>
        <w:t>פתח דבר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0" w:name="ABSTRACT_START"/>
      <w:bookmarkEnd w:id="10"/>
      <w:r>
        <w:rPr>
          <w:rtl w:val="true"/>
        </w:rPr>
        <w:t>הנאשם הורשע</w:t>
      </w:r>
      <w:r>
        <w:rPr>
          <w:rtl w:val="true"/>
        </w:rPr>
        <w:t xml:space="preserve">, </w:t>
      </w:r>
      <w:r>
        <w:rPr>
          <w:rtl w:val="true"/>
        </w:rPr>
        <w:t>על פי הודאתו</w:t>
      </w:r>
      <w:r>
        <w:rPr>
          <w:rtl w:val="true"/>
        </w:rPr>
        <w:t xml:space="preserve">, </w:t>
      </w:r>
      <w:r>
        <w:rPr>
          <w:rtl w:val="true"/>
        </w:rPr>
        <w:t>בעבירה של ירי מנשק חם באזור מגורים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6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340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 xml:space="preserve">ז –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 העונשין</w:t>
      </w:r>
      <w:r>
        <w:rPr>
          <w:rtl w:val="true"/>
        </w:rPr>
        <w:t xml:space="preserve">") </w:t>
      </w:r>
      <w:r>
        <w:rPr>
          <w:rtl w:val="true"/>
        </w:rPr>
        <w:t>ובעבירה של החזקת נשק שלא כדין</w:t>
      </w:r>
      <w:r>
        <w:rPr>
          <w:rtl w:val="true"/>
        </w:rPr>
        <w:t xml:space="preserve">,  </w:t>
      </w:r>
      <w:r>
        <w:rPr>
          <w:rtl w:val="true"/>
        </w:rPr>
        <w:t xml:space="preserve">עבירה לפי </w:t>
      </w:r>
      <w:hyperlink r:id="rId8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694" w:start="720" w:end="0"/>
        <w:jc w:val="both"/>
        <w:rPr>
          <w:bCs/>
          <w:szCs w:val="28"/>
          <w:u w:val="single"/>
        </w:rPr>
      </w:pPr>
      <w:bookmarkStart w:id="11" w:name="ABSTRACT_END"/>
      <w:bookmarkEnd w:id="11"/>
      <w:r>
        <w:rPr>
          <w:bCs/>
          <w:szCs w:val="28"/>
          <w:u w:val="single"/>
          <w:rtl w:val="true"/>
        </w:rPr>
        <w:t xml:space="preserve">כתב האישום </w:t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בעובדות כתב האישום נטען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ביום </w:t>
      </w:r>
      <w:r>
        <w:rPr/>
        <w:t>30.11.06</w:t>
      </w:r>
      <w:r>
        <w:rPr>
          <w:rtl w:val="true"/>
        </w:rPr>
        <w:t xml:space="preserve">, </w:t>
      </w:r>
      <w:r>
        <w:rPr>
          <w:rtl w:val="true"/>
        </w:rPr>
        <w:t xml:space="preserve">סמוך לשעה </w:t>
      </w:r>
      <w:r>
        <w:rPr/>
        <w:t>20:00</w:t>
      </w:r>
      <w:r>
        <w:rPr>
          <w:rtl w:val="true"/>
        </w:rPr>
        <w:t xml:space="preserve">, </w:t>
      </w:r>
      <w:r>
        <w:rPr>
          <w:rtl w:val="true"/>
        </w:rPr>
        <w:t>באזור מגורים בכפר בענה</w:t>
      </w:r>
      <w:r>
        <w:rPr>
          <w:rtl w:val="true"/>
        </w:rPr>
        <w:t xml:space="preserve">, </w:t>
      </w:r>
      <w:r>
        <w:rPr>
          <w:rtl w:val="true"/>
        </w:rPr>
        <w:t xml:space="preserve">ירה הנאשם מנשק </w:t>
      </w:r>
      <w:r>
        <w:rPr/>
        <w:t>M-16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הנשק</w:t>
      </w:r>
      <w:r>
        <w:rPr>
          <w:rtl w:val="true"/>
        </w:rPr>
        <w:t xml:space="preserve">")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>
          <w:rtl w:val="true"/>
        </w:rPr>
        <w:t>יריות</w:t>
      </w:r>
      <w:r>
        <w:rPr>
          <w:rtl w:val="true"/>
        </w:rPr>
        <w:t xml:space="preserve">. </w:t>
      </w:r>
      <w:r>
        <w:rPr>
          <w:rtl w:val="true"/>
        </w:rPr>
        <w:t>בהמשך לאמור לעיל החזיק הנאשם את הנשק שלא כדין</w:t>
      </w:r>
      <w:r>
        <w:rPr>
          <w:rtl w:val="true"/>
        </w:rPr>
        <w:t xml:space="preserve">, </w:t>
      </w:r>
      <w:r>
        <w:rPr>
          <w:rtl w:val="true"/>
        </w:rPr>
        <w:t>באופן שלא היה בידו רשות על פי דין להחזקתו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Cs/>
          <w:szCs w:val="28"/>
          <w:u w:val="single"/>
        </w:rPr>
      </w:pPr>
      <w:r>
        <w:rPr>
          <w:bCs/>
          <w:szCs w:val="28"/>
          <w:rtl w:val="true"/>
        </w:rPr>
        <w:t>ג</w:t>
      </w:r>
      <w:r>
        <w:rPr>
          <w:bCs/>
          <w:szCs w:val="28"/>
          <w:rtl w:val="true"/>
        </w:rPr>
        <w:t>.</w:t>
        <w:tab/>
      </w:r>
      <w:r>
        <w:rPr>
          <w:bCs/>
          <w:szCs w:val="28"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מתסקיר שירות המבחן</w:t>
      </w:r>
      <w:r>
        <w:rPr>
          <w:rtl w:val="true"/>
        </w:rPr>
        <w:t xml:space="preserve">, </w:t>
      </w:r>
      <w:r>
        <w:rPr>
          <w:rtl w:val="true"/>
        </w:rPr>
        <w:t xml:space="preserve">אשר הוגש ביום </w:t>
      </w:r>
      <w:r>
        <w:rPr/>
        <w:t>1.11.09</w:t>
      </w:r>
      <w:r>
        <w:rPr>
          <w:rtl w:val="true"/>
        </w:rPr>
        <w:t xml:space="preserve">, </w:t>
      </w:r>
      <w:r>
        <w:rPr>
          <w:rtl w:val="true"/>
        </w:rPr>
        <w:t>עולה כי הנאשם</w:t>
      </w:r>
      <w:r>
        <w:rPr>
          <w:rtl w:val="true"/>
        </w:rPr>
        <w:t xml:space="preserve">, </w:t>
      </w:r>
      <w:r>
        <w:rPr>
          <w:rtl w:val="true"/>
        </w:rPr>
        <w:t xml:space="preserve">שהינו רווק בן 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תושב הכפר בענה</w:t>
      </w:r>
      <w:r>
        <w:rPr>
          <w:rtl w:val="true"/>
        </w:rPr>
        <w:t xml:space="preserve">,  </w:t>
      </w:r>
      <w:r>
        <w:rPr>
          <w:rtl w:val="true"/>
        </w:rPr>
        <w:t>ביטא כעס רב בגין עצם הפנייתו לשירות המבחן וטען כי אינו מעוניין בשיתוף פעולה עם שירות 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מהתסקיר עולה</w:t>
      </w:r>
      <w:r>
        <w:rPr>
          <w:rtl w:val="true"/>
        </w:rPr>
        <w:t xml:space="preserve">, </w:t>
      </w:r>
      <w:r>
        <w:rPr>
          <w:rtl w:val="true"/>
        </w:rPr>
        <w:t>כי הנאשם גדל בתנאי מחייה דלים במשפחה ברוכת ילדים</w:t>
      </w:r>
      <w:r>
        <w:rPr>
          <w:rtl w:val="true"/>
        </w:rPr>
        <w:t xml:space="preserve">, </w:t>
      </w:r>
      <w:r>
        <w:rPr>
          <w:rtl w:val="true"/>
        </w:rPr>
        <w:t xml:space="preserve">נשר מבית הספר לאחר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 לימוד</w:t>
      </w:r>
      <w:r>
        <w:rPr>
          <w:rtl w:val="true"/>
        </w:rPr>
        <w:t xml:space="preserve">, </w:t>
      </w:r>
      <w:r>
        <w:rPr>
          <w:rtl w:val="true"/>
        </w:rPr>
        <w:t xml:space="preserve">ובשנת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 xml:space="preserve">התגייס לצבא וסיים את שירותו ביוני </w:t>
      </w:r>
      <w:r>
        <w:rPr/>
        <w:t>2009</w:t>
      </w:r>
      <w:r>
        <w:rPr>
          <w:rtl w:val="true"/>
        </w:rPr>
        <w:t xml:space="preserve">, </w:t>
      </w:r>
      <w:r>
        <w:rPr>
          <w:rtl w:val="true"/>
        </w:rPr>
        <w:t>אשר במהלכו היה נתון הנאשם</w:t>
      </w:r>
      <w:r>
        <w:rPr>
          <w:rtl w:val="true"/>
        </w:rPr>
        <w:t xml:space="preserve">, </w:t>
      </w:r>
      <w:r>
        <w:rPr>
          <w:rtl w:val="true"/>
        </w:rPr>
        <w:t xml:space="preserve">לדבריו </w:t>
      </w:r>
      <w:r>
        <w:rPr>
          <w:rtl w:val="true"/>
        </w:rPr>
        <w:t xml:space="preserve">, </w:t>
      </w:r>
      <w:r>
        <w:rPr>
          <w:rtl w:val="true"/>
        </w:rPr>
        <w:t>בבית כלא צבאי בגין עריקות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עולה מהתסקיר</w:t>
      </w:r>
      <w:r>
        <w:rPr>
          <w:rtl w:val="true"/>
        </w:rPr>
        <w:t xml:space="preserve">, </w:t>
      </w:r>
      <w:r>
        <w:rPr>
          <w:rtl w:val="true"/>
        </w:rPr>
        <w:t>כי מזה מספר חודשים עובד הנאשם באופן מזדמן בתחום הבניין עם אחיו ומתעתד לעבור לאילת לאחר סיום ההליך המשפטי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בתסקיר צויין</w:t>
      </w:r>
      <w:r>
        <w:rPr>
          <w:rtl w:val="true"/>
        </w:rPr>
        <w:t xml:space="preserve">, </w:t>
      </w:r>
      <w:r>
        <w:rPr>
          <w:rtl w:val="true"/>
        </w:rPr>
        <w:t>כי הנאשם אינו מקבל אחריות בגין ביצוע העבירות ולא ביטא חרטה כלשהי בגין כך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ונוכח העובדה שהנאשם מתנגד לקשר עם שירות המבחן</w:t>
      </w:r>
      <w:r>
        <w:rPr>
          <w:rtl w:val="true"/>
        </w:rPr>
        <w:t xml:space="preserve">, </w:t>
      </w:r>
      <w:r>
        <w:rPr>
          <w:rtl w:val="true"/>
        </w:rPr>
        <w:t>נמנע שירות המבחן ממתן המלצה בעניינו של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Cs/>
          <w:szCs w:val="28"/>
        </w:rPr>
      </w:pPr>
      <w:r>
        <w:rPr>
          <w:bCs/>
          <w:szCs w:val="28"/>
          <w:rtl w:val="true"/>
        </w:rPr>
        <w:t>ד</w:t>
      </w:r>
      <w:r>
        <w:rPr>
          <w:bCs/>
          <w:szCs w:val="28"/>
          <w:rtl w:val="true"/>
        </w:rPr>
        <w:t>.</w:t>
        <w:tab/>
      </w:r>
      <w:r>
        <w:rPr>
          <w:bCs/>
          <w:szCs w:val="28"/>
          <w:u w:val="single"/>
          <w:rtl w:val="true"/>
        </w:rPr>
        <w:t>טיעוני המאשימה לעונש</w:t>
      </w:r>
      <w:r>
        <w:rPr>
          <w:bCs/>
          <w:szCs w:val="28"/>
          <w:rtl w:val="true"/>
        </w:rPr>
        <w:tab/>
      </w:r>
    </w:p>
    <w:p>
      <w:pPr>
        <w:pStyle w:val="Normal"/>
        <w:spacing w:lineRule="auto" w:line="360" w:before="280" w:after="280"/>
        <w:ind w:hanging="720" w:start="720" w:end="0"/>
        <w:jc w:val="both"/>
        <w:rPr>
          <w:b/>
        </w:rPr>
      </w:pPr>
      <w:r>
        <w:rPr>
          <w:b/>
        </w:rPr>
        <w:t>6</w:t>
      </w:r>
      <w:r>
        <w:rPr>
          <w:b/>
          <w:rtl w:val="true"/>
        </w:rPr>
        <w:t>.</w:t>
        <w:tab/>
      </w:r>
      <w:r>
        <w:rPr>
          <w:b/>
          <w:b/>
          <w:rtl w:val="true"/>
        </w:rPr>
        <w:t>ב</w:t>
      </w:r>
      <w:r>
        <w:rPr>
          <w:b/>
          <w:rtl w:val="true"/>
        </w:rPr>
        <w:t>"</w:t>
      </w:r>
      <w:r>
        <w:rPr>
          <w:b/>
          <w:b/>
          <w:rtl w:val="true"/>
        </w:rPr>
        <w:t>כ המאשימה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 xml:space="preserve">במסגרת טיעוניה לעונש בישיבה מיום </w:t>
      </w:r>
      <w:r>
        <w:rPr>
          <w:b/>
        </w:rPr>
        <w:t>10.11.09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ציינה כי עברו של  הנאשם נקי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אולם בד בבד הדגישה את העונשים הקבועים בצד העבירות בגינן הורשע הנאשם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וציינה כי יש בכך כדי להעיד בדבר חומרת העבירות</w:t>
      </w:r>
      <w:r>
        <w:rPr>
          <w:b/>
          <w:rtl w:val="true"/>
        </w:rPr>
        <w:t xml:space="preserve">. </w:t>
      </w:r>
    </w:p>
    <w:p>
      <w:pPr>
        <w:pStyle w:val="Normal"/>
        <w:spacing w:lineRule="auto" w:line="360" w:before="280" w:after="280"/>
        <w:ind w:hanging="720" w:start="720" w:end="0"/>
        <w:jc w:val="both"/>
        <w:rPr>
          <w:b/>
        </w:rPr>
      </w:pPr>
      <w:r>
        <w:rPr>
          <w:b/>
        </w:rPr>
        <w:t>7</w:t>
      </w:r>
      <w:r>
        <w:rPr>
          <w:b/>
          <w:rtl w:val="true"/>
        </w:rPr>
        <w:t>.</w:t>
        <w:tab/>
      </w:r>
      <w:r>
        <w:rPr>
          <w:b/>
          <w:b/>
          <w:rtl w:val="true"/>
        </w:rPr>
        <w:t>ב</w:t>
      </w:r>
      <w:r>
        <w:rPr>
          <w:b/>
          <w:rtl w:val="true"/>
        </w:rPr>
        <w:t>"</w:t>
      </w:r>
      <w:r>
        <w:rPr>
          <w:b/>
          <w:b/>
          <w:rtl w:val="true"/>
        </w:rPr>
        <w:t xml:space="preserve">כ המאשימה הגישה פסיקה </w:t>
      </w:r>
      <w:r>
        <w:rPr>
          <w:b/>
          <w:rtl w:val="true"/>
        </w:rPr>
        <w:t>(</w:t>
      </w:r>
      <w:r>
        <w:rPr>
          <w:b/>
          <w:b/>
          <w:rtl w:val="true"/>
        </w:rPr>
        <w:t>ת</w:t>
      </w:r>
      <w:r>
        <w:rPr>
          <w:b/>
          <w:rtl w:val="true"/>
        </w:rPr>
        <w:t>/</w:t>
      </w:r>
      <w:r>
        <w:rPr>
          <w:b/>
        </w:rPr>
        <w:t>1</w:t>
      </w:r>
      <w:r>
        <w:rPr>
          <w:b/>
          <w:rtl w:val="true"/>
        </w:rPr>
        <w:t xml:space="preserve">), </w:t>
      </w:r>
      <w:r>
        <w:rPr>
          <w:b/>
          <w:b/>
          <w:rtl w:val="true"/>
        </w:rPr>
        <w:t xml:space="preserve">ממנה ניתן ללמוד בדבר השתת עונש של מאסר בפועל בן </w:t>
      </w:r>
      <w:r>
        <w:rPr>
          <w:b/>
        </w:rPr>
        <w:t>4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חודשים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אשר נקבע כי ירוצה בדרך של עבודות שירות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 xml:space="preserve">מאסר על תנאי וקנס בסכום של </w:t>
      </w:r>
      <w:r>
        <w:rPr>
          <w:b/>
        </w:rPr>
        <w:t>5,000</w:t>
      </w:r>
      <w:r>
        <w:rPr>
          <w:b/>
          <w:rtl w:val="true"/>
        </w:rPr>
        <w:t xml:space="preserve"> ₪, </w:t>
      </w:r>
      <w:r>
        <w:rPr>
          <w:b/>
          <w:b/>
          <w:rtl w:val="true"/>
        </w:rPr>
        <w:t>זאת בגין מקרה דומה בו הורשע הנאשם בביצוע עבירה של ירי מנשק חם באיזור מגורים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אם כי מנשקו האישי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כמו כן הפנתה ב</w:t>
      </w:r>
      <w:r>
        <w:rPr>
          <w:b/>
          <w:rtl w:val="true"/>
        </w:rPr>
        <w:t>"</w:t>
      </w:r>
      <w:r>
        <w:rPr>
          <w:b/>
          <w:b/>
          <w:rtl w:val="true"/>
        </w:rPr>
        <w:t xml:space="preserve">כ המאשימה לפסיקה נוספת </w:t>
      </w:r>
      <w:r>
        <w:rPr>
          <w:b/>
          <w:rtl w:val="true"/>
        </w:rPr>
        <w:t>(</w:t>
      </w:r>
      <w:r>
        <w:rPr>
          <w:b/>
          <w:b/>
          <w:color w:val="000000"/>
          <w:rtl w:val="true"/>
        </w:rPr>
        <w:t>רע</w:t>
      </w:r>
      <w:r>
        <w:rPr>
          <w:b/>
          <w:color w:val="000000"/>
          <w:rtl w:val="true"/>
        </w:rPr>
        <w:t>"</w:t>
      </w:r>
      <w:r>
        <w:rPr>
          <w:b/>
          <w:b/>
          <w:color w:val="000000"/>
          <w:rtl w:val="true"/>
        </w:rPr>
        <w:t xml:space="preserve">פ </w:t>
      </w:r>
      <w:r>
        <w:rPr>
          <w:b/>
          <w:color w:val="000000"/>
        </w:rPr>
        <w:t>5066/08</w:t>
      </w:r>
      <w:r>
        <w:rPr>
          <w:b/>
          <w:rtl w:val="true"/>
        </w:rPr>
        <w:t xml:space="preserve"> </w:t>
      </w:r>
      <w:r>
        <w:rPr>
          <w:bCs/>
          <w:rtl w:val="true"/>
        </w:rPr>
        <w:t>מדינת ישראל נגד ניעמאן</w:t>
      </w:r>
      <w:r>
        <w:rPr>
          <w:b/>
          <w:b/>
          <w:rtl w:val="true"/>
        </w:rPr>
        <w:t xml:space="preserve"> ו</w:t>
      </w:r>
      <w:hyperlink r:id="rId9">
        <w:r>
          <w:rPr>
            <w:rStyle w:val="Hyperlink"/>
            <w:b/>
            <w:b/>
            <w:rtl w:val="true"/>
          </w:rPr>
          <w:t>רע</w:t>
        </w:r>
        <w:r>
          <w:rPr>
            <w:rStyle w:val="Hyperlink"/>
            <w:b/>
            <w:rtl w:val="true"/>
          </w:rPr>
          <w:t>"</w:t>
        </w:r>
        <w:r>
          <w:rPr>
            <w:rStyle w:val="Hyperlink"/>
            <w:b/>
            <w:b/>
            <w:rtl w:val="true"/>
          </w:rPr>
          <w:t xml:space="preserve">פ </w:t>
        </w:r>
        <w:r>
          <w:rPr>
            <w:rStyle w:val="Hyperlink"/>
            <w:b/>
          </w:rPr>
          <w:t>2718/04</w:t>
        </w:r>
      </w:hyperlink>
      <w:r>
        <w:rPr>
          <w:b/>
          <w:rtl w:val="true"/>
        </w:rPr>
        <w:t xml:space="preserve"> </w:t>
      </w:r>
      <w:r>
        <w:rPr>
          <w:bCs/>
          <w:rtl w:val="true"/>
        </w:rPr>
        <w:t>פואד אבו דאחל נגד מדינת ישראל</w:t>
      </w:r>
      <w:r>
        <w:rPr>
          <w:b/>
          <w:rtl w:val="true"/>
        </w:rPr>
        <w:t xml:space="preserve">), </w:t>
      </w:r>
      <w:r>
        <w:rPr>
          <w:b/>
          <w:b/>
          <w:rtl w:val="true"/>
        </w:rPr>
        <w:t>בה התייחס בית המשפט העליון לחומרה היתירה הטמונה בעבירה של החזקת נשק שלא כדין</w:t>
      </w:r>
      <w:r>
        <w:rPr>
          <w:b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</w:rPr>
        <w:t>8</w:t>
      </w:r>
      <w:r>
        <w:rPr>
          <w:b/>
          <w:rtl w:val="true"/>
        </w:rPr>
        <w:t>.</w:t>
        <w:tab/>
      </w:r>
      <w:r>
        <w:rPr>
          <w:b/>
          <w:b/>
          <w:rtl w:val="true"/>
        </w:rPr>
        <w:t>ב</w:t>
      </w:r>
      <w:r>
        <w:rPr>
          <w:b/>
          <w:rtl w:val="true"/>
        </w:rPr>
        <w:t>"</w:t>
      </w:r>
      <w:r>
        <w:rPr>
          <w:b/>
          <w:b/>
          <w:rtl w:val="true"/>
        </w:rPr>
        <w:t>כ המאשימה ביקשה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כי בית המשפט ישית על הנאשם עונש של מאסר בפועל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מאסר על תנאי מרתיע וכן קנס כספי</w:t>
      </w:r>
      <w:r>
        <w:rPr>
          <w:b/>
          <w:rtl w:val="true"/>
        </w:rPr>
        <w:t xml:space="preserve">. </w:t>
      </w:r>
      <w:r>
        <w:rPr>
          <w:rtl w:val="true"/>
        </w:rPr>
        <w:t xml:space="preserve">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Cs/>
          <w:szCs w:val="28"/>
          <w:u w:val="single"/>
        </w:rPr>
      </w:pPr>
      <w:r>
        <w:rPr>
          <w:bCs/>
          <w:szCs w:val="28"/>
          <w:rtl w:val="true"/>
        </w:rPr>
        <w:t>ה</w:t>
      </w:r>
      <w:r>
        <w:rPr>
          <w:bCs/>
          <w:szCs w:val="28"/>
          <w:rtl w:val="true"/>
        </w:rPr>
        <w:t>.</w:t>
        <w:tab/>
      </w:r>
      <w:r>
        <w:rPr>
          <w:bCs/>
          <w:szCs w:val="28"/>
          <w:u w:val="single"/>
          <w:rtl w:val="true"/>
        </w:rPr>
        <w:t>טיעוני ההגנה לעונש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"/>
          <w:rFonts w:cs="David"/>
        </w:rPr>
      </w:pPr>
      <w:r>
        <w:rPr>
          <w:rFonts w:cs="David"/>
        </w:rPr>
        <w:t>9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הסניגור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בטיעוניו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לעונש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פלילי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וכי</w:t>
      </w:r>
      <w:r>
        <w:rPr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בוצעו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ידו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3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שנים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בעודו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חייל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ומאז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נפתחו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כנגדו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תיקים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נוספים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start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עוד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טען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הסניגור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 </w:t>
      </w:r>
      <w:r>
        <w:rPr>
          <w:rStyle w:val="normal-h"/>
          <w:rFonts w:cs="David"/>
          <w:rtl w:val="true"/>
        </w:rPr>
        <w:t>החזקת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נבלעת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הירי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בשטח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הבנוי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בהדגישו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רישיון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לשאת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בבסיס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מעצם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היותו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חייל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הנזכר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בכתב</w:t>
      </w:r>
      <w:r>
        <w:rPr>
          <w:rStyle w:val="normal-h"/>
          <w:rtl w:val="true"/>
        </w:rPr>
        <w:t xml:space="preserve">  </w:t>
      </w:r>
      <w:r>
        <w:rPr>
          <w:rStyle w:val="normal-h"/>
          <w:rFonts w:cs="David"/>
          <w:rtl w:val="true"/>
        </w:rPr>
        <w:t>האישום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</w:rPr>
        <w:t>10</w:t>
      </w:r>
      <w:r>
        <w:rPr>
          <w:rStyle w:val="normal-h"/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הסניגור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הגיש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לתיק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מכתב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ממפקד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בסיס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מצ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בבירנית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ממנו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הוחלט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המשטרה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הצבאית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החוקרת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מצ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ח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תפתח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בחקירה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בנוגע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למקרה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הנושא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יישאר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בטיפול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המשטרה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נ</w:t>
      </w:r>
      <w:r>
        <w:rPr>
          <w:rStyle w:val="normal-h"/>
          <w:rFonts w:cs="David"/>
          <w:rtl w:val="true"/>
        </w:rPr>
        <w:t>/</w:t>
      </w:r>
      <w:r>
        <w:rPr>
          <w:rStyle w:val="normal-h"/>
          <w:rFonts w:cs="David"/>
        </w:rPr>
        <w:t>1</w:t>
      </w:r>
      <w:r>
        <w:rPr>
          <w:rStyle w:val="normal-h"/>
          <w:rFonts w:cs="David"/>
          <w:rtl w:val="true"/>
        </w:rPr>
        <w:t xml:space="preserve">). </w:t>
      </w:r>
      <w:r>
        <w:rPr>
          <w:rStyle w:val="normal-h"/>
          <w:rFonts w:cs="David"/>
          <w:rtl w:val="true"/>
        </w:rPr>
        <w:t>הסניגור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הדגיש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הוגש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כתב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אישום</w:t>
      </w:r>
      <w:r>
        <w:rPr>
          <w:rStyle w:val="normal-h"/>
          <w:rtl w:val="true"/>
        </w:rPr>
        <w:t xml:space="preserve">  </w:t>
      </w:r>
      <w:r>
        <w:rPr>
          <w:rStyle w:val="normal-h"/>
          <w:rFonts w:cs="David"/>
          <w:rtl w:val="true"/>
        </w:rPr>
        <w:t>כנגד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חשוד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נוסף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לגביו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נטען</w:t>
      </w:r>
      <w:r>
        <w:rPr>
          <w:rStyle w:val="normal-h"/>
          <w:rtl w:val="true"/>
        </w:rPr>
        <w:t xml:space="preserve">  </w:t>
      </w:r>
      <w:r>
        <w:rPr>
          <w:rStyle w:val="normal-h"/>
          <w:rFonts w:cs="David"/>
          <w:rtl w:val="true"/>
        </w:rPr>
        <w:t>בהודעה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ראייה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נ</w:t>
      </w:r>
      <w:r>
        <w:rPr>
          <w:rStyle w:val="normal-h"/>
          <w:rFonts w:cs="David"/>
          <w:rtl w:val="true"/>
        </w:rPr>
        <w:t>/</w:t>
      </w:r>
      <w:r>
        <w:rPr>
          <w:rStyle w:val="normal-h"/>
          <w:rFonts w:cs="David"/>
        </w:rPr>
        <w:t>2</w:t>
      </w:r>
      <w:r>
        <w:rPr>
          <w:rStyle w:val="normal-h"/>
          <w:rFonts w:cs="David"/>
          <w:rtl w:val="true"/>
        </w:rPr>
        <w:t xml:space="preserve">),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נראה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יורה</w:t>
      </w:r>
      <w:r>
        <w:rPr>
          <w:rStyle w:val="normal-h"/>
          <w:rtl w:val="true"/>
        </w:rPr>
        <w:t xml:space="preserve">  </w:t>
      </w:r>
      <w:r>
        <w:rPr>
          <w:rStyle w:val="normal-h"/>
          <w:rFonts w:cs="David"/>
          <w:rtl w:val="true"/>
        </w:rPr>
        <w:t>מהנשק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נשוא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כתב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האישום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לאחר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Fonts w:cs="David"/>
          <w:rtl w:val="true"/>
        </w:rPr>
        <w:t xml:space="preserve">.  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</w:rPr>
        <w:t>11</w:t>
      </w:r>
      <w:r>
        <w:rPr>
          <w:rStyle w:val="normal-h"/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הסניגור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ציין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בטיעוניו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לעונש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הסתבך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בביצוע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נוספות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מאז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האירוע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נשוא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כתב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האישום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הסניגור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הוסיף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וטען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עובד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בעבודות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שיפוצים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חזר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בתשובה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וכיום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הינו</w:t>
      </w:r>
      <w:r>
        <w:rPr>
          <w:rStyle w:val="normal-h"/>
          <w:rtl w:val="true"/>
        </w:rPr>
        <w:t xml:space="preserve">  </w:t>
      </w:r>
      <w:r>
        <w:rPr>
          <w:rStyle w:val="normal-h"/>
          <w:rFonts w:cs="David"/>
          <w:rtl w:val="true"/>
        </w:rPr>
        <w:t>אדם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דתי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hanging="720" w:start="720" w:end="0"/>
        <w:jc w:val="both"/>
        <w:rPr/>
      </w:pPr>
      <w:r>
        <w:rPr>
          <w:rStyle w:val="normal-h"/>
          <w:rFonts w:cs="David"/>
        </w:rPr>
        <w:t>12</w:t>
      </w:r>
      <w:r>
        <w:rPr>
          <w:rStyle w:val="normal-h"/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נוכח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כל</w:t>
      </w:r>
      <w:r>
        <w:rPr>
          <w:rStyle w:val="normal-h"/>
          <w:rtl w:val="true"/>
        </w:rPr>
        <w:t xml:space="preserve">  </w:t>
      </w:r>
      <w:r>
        <w:rPr>
          <w:rStyle w:val="normal-h"/>
          <w:rFonts w:cs="David"/>
          <w:rtl w:val="true"/>
        </w:rPr>
        <w:t>האמור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לעיל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ביקש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הסניגור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להשית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עונש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הצופה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עתיד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בהדגישו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נקי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Cs w:val="28"/>
          <w:u w:val="single"/>
        </w:rPr>
      </w:pPr>
      <w:r>
        <w:rPr>
          <w:b/>
          <w:b/>
          <w:bCs/>
          <w:szCs w:val="28"/>
          <w:rtl w:val="true"/>
        </w:rPr>
        <w:t>ו</w:t>
      </w:r>
      <w:r>
        <w:rPr>
          <w:b/>
          <w:bCs/>
          <w:szCs w:val="28"/>
          <w:rtl w:val="true"/>
        </w:rPr>
        <w:t>.</w:t>
        <w:tab/>
      </w:r>
      <w:r>
        <w:rPr>
          <w:b/>
          <w:b/>
          <w:bCs/>
          <w:szCs w:val="28"/>
          <w:u w:val="single"/>
          <w:rtl w:val="true"/>
        </w:rPr>
        <w:t xml:space="preserve">דיון ומסקנות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Cs w:val="28"/>
          <w:u w:val="single"/>
        </w:rPr>
      </w:pPr>
      <w:r>
        <w:rPr>
          <w:b/>
          <w:bCs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לחובת הנאשם יש לציין את חומרת העבירות בגינן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הדגשת העבירה של החזקת נשק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בגינה קבע המחוקק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בכדי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עונש מירבי של שבע שנות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במקרה דנן החזיק הנאשם נשק שלא כדין ואף ירה בו באזור מגורים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המוסיף נופך של חומרה להתנהלותו של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בית המשפט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מפי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השופטת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כתוארה אז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בייניש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1332/04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 xml:space="preserve">מדינת ישראל 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u w:val="single"/>
          <w:rtl w:val="true"/>
        </w:rPr>
        <w:t>יצחק רפאל פס</w:t>
      </w:r>
      <w:r>
        <w:rPr>
          <w:rFonts w:ascii="Arial" w:hAnsi="Arial" w:cs="Arial"/>
          <w:rtl w:val="true"/>
        </w:rPr>
        <w:t xml:space="preserve"> הבהיר במילים הבאות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מידת העונש בגין עבירות של החזקת  נשק הינה פונקציה של פוטנציאל הסיכון הרב הטמון בהחזקת נשק שלא כדין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כבר נאמר לא אחת בפסיקתנו כי מידת העונש המוטל בגין עבירות המבוצעות בנשק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ascii="Arial" w:hAnsi="Arial" w:cs="Arial"/>
          <w:b/>
          <w:b/>
          <w:bCs/>
          <w:rtl w:val="true"/>
        </w:rPr>
        <w:t>מושפעת מפוטנציאל הסיכון הרב הטמון בנשק המוחזק שלא כדין ומהעברתו מיד ליד ללא פיקוח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בבוא בית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המשפט לגזור את הדין בעבירה של החזקה ונשיאה של נשק עליו להתחשב בנסיבות שבהן באה לידי ביטוי החומרה המיוחדת שבעבירה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בין היתר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ייתן בית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המשפט דעתו על סוג הנשק המוחזק שלא כדין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 כמותו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 התכלית שלשמה הוא מוחזק ועל הסכנה המוחשית שיעשה בו שימוש</w:t>
      </w:r>
      <w:r>
        <w:rPr>
          <w:rFonts w:cs="Arial" w:ascii="Arial" w:hAnsi="Arial"/>
          <w:b/>
          <w:bCs/>
          <w:rtl w:val="true"/>
        </w:rPr>
        <w:t>" (</w:t>
      </w:r>
      <w:r>
        <w:rPr>
          <w:rFonts w:ascii="Arial" w:hAnsi="Arial" w:cs="Arial"/>
          <w:b/>
          <w:b/>
          <w:bCs/>
          <w:rtl w:val="true"/>
        </w:rPr>
        <w:t>פ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נח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5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b/>
          <w:bCs/>
        </w:rPr>
        <w:t>541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בעמ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cs="Arial" w:ascii="Arial" w:hAnsi="Arial"/>
          <w:b/>
          <w:bCs/>
        </w:rPr>
        <w:t>544</w:t>
      </w:r>
      <w:r>
        <w:rPr>
          <w:rFonts w:cs="Arial" w:ascii="Arial" w:hAnsi="Arial"/>
          <w:b/>
          <w:bCs/>
          <w:rtl w:val="true"/>
        </w:rPr>
        <w:t>).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וכן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אם אכן נהגו בתי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המשפט בסלחנות עד כה בעבירות 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ניתן לומר כי לא הרימו תרומה מספקת לעקירת התופעה של החזקה או נשיאה של 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שהתפשטה במקומותינו והתדרדרה לשימוש בו בידי גורמים המסכנים את שלומו ואת ביטחונו של הציבור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עמ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cs="Arial" w:ascii="Arial" w:hAnsi="Arial"/>
          <w:b/>
          <w:bCs/>
        </w:rPr>
        <w:t>545</w:t>
      </w:r>
      <w:r>
        <w:rPr>
          <w:rFonts w:cs="Arial" w:ascii="Arial" w:hAnsi="Arial"/>
          <w:b/>
          <w:bCs/>
          <w:rtl w:val="true"/>
        </w:rPr>
        <w:t xml:space="preserve"> - </w:t>
      </w:r>
      <w:r>
        <w:rPr>
          <w:rFonts w:cs="Arial" w:ascii="Arial" w:hAnsi="Arial"/>
          <w:b/>
          <w:bCs/>
        </w:rPr>
        <w:t>546</w:t>
      </w:r>
      <w:r>
        <w:rPr>
          <w:rFonts w:cs="Arial" w:ascii="Arial" w:hAnsi="Arial"/>
          <w:b/>
          <w:bCs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להמחשת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יפים גם דבריו של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לוי ב</w:t>
      </w:r>
      <w:hyperlink r:id="rId11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7955/06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מיסור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1.1.07</w:t>
      </w:r>
      <w:r>
        <w:rPr>
          <w:rFonts w:cs="Arial" w:ascii="Arial" w:hAnsi="Arial"/>
          <w:rtl w:val="true"/>
        </w:rPr>
        <w:t>):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החזקת נשק שלא כדין על ידי מי שלא הורשה לכך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היא עבירה לה נודעת השלכות חמורות במיוחד בשנים האחרונות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כאשר עבריינים עושים שימוש תכוף בנשק חם כדי לבצע עבירות או כדי לחסל חשבונות עם יריבים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כתוצאה מכך נפגעו לא אחת אנשים חפים מפשע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ועל כן השקפת הפסיקה היא כי יש לגזור למבצעיהן של עבירות מסוג זה עונשי מאסר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מתוך תקווה שבדרך זו ניתן יהיה לצמצם את ממדיה של התופעה</w:t>
      </w:r>
      <w:r>
        <w:rPr>
          <w:rFonts w:cs="Arial" w:ascii="Arial" w:hAnsi="Arial"/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 מקרה נדון הן על פי נסיבותיו והן על פי נסיבותיו האישיות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במקרים מתאימים ניתן להשית על נאשמים שהורשעו בביצוע עבירה של החזקת נשק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עונשים חמורים פחות ממאסר בפועל מאחורי סורג ובריח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וכך ייעשה גם במקרה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מהטעמים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ראשית יצויין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עסקינן בנאשם צעיר בן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שעברו נקי ללא רבב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ואשר מתפקד באורח נורמטיבי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שעולה מעיון בתסקיר שירות המבחן ובטיעוני הסנגור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מהם גם עולה כי הנאשם חזר בתשובה לאחרונה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שנית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ליתן את הדעת לכך שמאז ביצוע העבירות חלף פרק זמן ניכר של שלוש 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במהלכן לא נפתחו כנגד הנאשם תיקים נוספים במשטרת ישראל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זאת ועוד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באירוע נקודתי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במסגרתו אומנם החזיק הנאשם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ממנו ירה מספר יריות באזור מגורים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אין עסקינן במקרה המלמד על פוטנציאל של סיכון רב הטמון בהחזקת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לא מדובר בנשק שהועבר או שניתן היה להעבירו לגורמים עוינים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פיקוח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יודגש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בעת הרלוונטית היה הנאשם חייל בשירות צבאי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ולפיכך היה מורשה להחזיק בבסיס הצבאי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כי לא את הנשק נשוא כתב האישום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אשר 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שקלול הטעמים לחומרא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הנעוצים בחומרת העבירות כשלעצמן ובאי לקיחת אחריות על ידי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כמצטייר מהתסקיר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בצד הטעמים לקולא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הנעוצים בנסיבות האירוע ובנסיבותיו האישיות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בהודאת הנאשם בהזדמנות הראשונה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מביאני לידי מסקנה כי מן הראוי להשית בתיק זה על הנאשם עונש של מאסר בפועל בן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ירוצה בדרך של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בכפוף לחוות דעת הממונה על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שתוגש בתיק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מאסר על תנאי וקנס כספי הולם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  <w:b/>
          <w:bCs/>
          <w:szCs w:val="28"/>
          <w:u w:val="single"/>
        </w:rPr>
      </w:pPr>
      <w:r>
        <w:rPr>
          <w:szCs w:val="28"/>
          <w:rtl w:val="true"/>
        </w:rPr>
        <w:t>ז</w:t>
      </w:r>
      <w:r>
        <w:rPr>
          <w:szCs w:val="28"/>
          <w:rtl w:val="true"/>
        </w:rPr>
        <w:t>.</w:t>
        <w:tab/>
      </w:r>
      <w:r>
        <w:rPr>
          <w:b/>
          <w:b/>
          <w:bCs/>
          <w:szCs w:val="28"/>
          <w:u w:val="single"/>
          <w:rtl w:val="true"/>
        </w:rPr>
        <w:t>אחרית דבר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Cs w:val="28"/>
          <w:u w:val="single"/>
        </w:rPr>
      </w:pPr>
      <w:r>
        <w:rPr>
          <w:rFonts w:cs="Arial" w:ascii="Arial" w:hAnsi="Arial"/>
          <w:b/>
          <w:bCs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לסיכום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הנני משיתה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34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מאסר בפועל לתקופה של 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ירוצה בדרך של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 בחוות דעת הממונה על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בכפר הילדים בכרמיאל</w:t>
      </w:r>
      <w:r>
        <w:rPr>
          <w:rFonts w:cs="Arial" w:ascii="Arial" w:hAnsi="Arial"/>
          <w:rtl w:val="true"/>
        </w:rPr>
        <w:t xml:space="preserve">, </w:t>
      </w:r>
      <w:r>
        <w:rPr>
          <w:sz w:val="34"/>
          <w:sz w:val="34"/>
          <w:rtl w:val="true"/>
        </w:rPr>
        <w:t xml:space="preserve">זאת החל מיום </w:t>
      </w:r>
      <w:r>
        <w:rPr>
          <w:sz w:val="34"/>
        </w:rPr>
        <w:t>28.03.10</w:t>
      </w:r>
      <w:r>
        <w:rPr>
          <w:sz w:val="34"/>
          <w:rtl w:val="true"/>
        </w:rPr>
        <w:t xml:space="preserve"> </w:t>
      </w:r>
      <w:r>
        <w:rPr>
          <w:sz w:val="34"/>
          <w:sz w:val="34"/>
          <w:rtl w:val="true"/>
        </w:rPr>
        <w:t xml:space="preserve">בשעה </w:t>
      </w:r>
      <w:r>
        <w:rPr>
          <w:sz w:val="34"/>
        </w:rPr>
        <w:t>08.00</w:t>
      </w:r>
      <w:r>
        <w:rPr>
          <w:sz w:val="34"/>
          <w:rtl w:val="true"/>
        </w:rPr>
        <w:t xml:space="preserve"> </w:t>
      </w:r>
      <w:r>
        <w:rPr>
          <w:sz w:val="34"/>
          <w:sz w:val="34"/>
          <w:rtl w:val="true"/>
        </w:rPr>
        <w:t>שאז יתייצב הנאשם לתחילת ביצוע עבודות השירות</w:t>
      </w:r>
      <w:r>
        <w:rPr>
          <w:sz w:val="34"/>
          <w:rtl w:val="true"/>
        </w:rPr>
        <w:t xml:space="preserve">, </w:t>
      </w:r>
      <w:r>
        <w:rPr>
          <w:sz w:val="34"/>
          <w:sz w:val="34"/>
          <w:rtl w:val="true"/>
        </w:rPr>
        <w:t xml:space="preserve">במפקדת גוש צפון במתחם בית סוהר </w:t>
      </w:r>
      <w:r>
        <w:rPr>
          <w:sz w:val="34"/>
          <w:rtl w:val="true"/>
        </w:rPr>
        <w:t>"</w:t>
      </w:r>
      <w:r>
        <w:rPr>
          <w:sz w:val="34"/>
          <w:sz w:val="34"/>
          <w:rtl w:val="true"/>
        </w:rPr>
        <w:t>חרמון</w:t>
      </w:r>
      <w:r>
        <w:rPr>
          <w:sz w:val="34"/>
          <w:rtl w:val="true"/>
        </w:rPr>
        <w:t xml:space="preserve">", </w:t>
      </w:r>
      <w:r>
        <w:rPr>
          <w:sz w:val="34"/>
          <w:sz w:val="34"/>
          <w:rtl w:val="true"/>
        </w:rPr>
        <w:t>לצורך הצבה וקליטה בתאריך תחילת העבודה</w:t>
      </w:r>
      <w:r>
        <w:rPr>
          <w:sz w:val="34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  <w:sz w:val="34"/>
        </w:rPr>
      </w:pPr>
      <w:r>
        <w:rPr>
          <w:rFonts w:cs="Times New Roman" w:ascii="Times New Roman" w:hAnsi="Times New Roman"/>
          <w:sz w:val="34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מאסר על תנאי לתקופה של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 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והתנאי הוא – כי הנאשם לא יעבור עבירה מסוג פשע לפי 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3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מאסר על תנאי לתקופה של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והתנאי הוא – כי הנאשם לא יעבור עבירה מסוג עוון לפי 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וכן עבירה על פי 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340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6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ויורשע בגין אחת מהן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קנס בסכום של </w:t>
      </w:r>
      <w:r>
        <w:rPr>
          <w:rFonts w:cs="Arial" w:ascii="Arial" w:hAnsi="Arial"/>
        </w:rPr>
        <w:t>4,000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 תמורתם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ישולם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י הנאשם ב –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תשלומים חודשיים שווים ורצופים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בסכום של </w:t>
      </w:r>
      <w:r>
        <w:rPr>
          <w:rFonts w:cs="Arial" w:ascii="Arial" w:hAnsi="Arial"/>
        </w:rPr>
        <w:t>400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כל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מיום </w:t>
      </w:r>
      <w:r>
        <w:rPr>
          <w:rFonts w:cs="Arial" w:ascii="Arial" w:hAnsi="Arial"/>
        </w:rPr>
        <w:t>01.03.10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ואילך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b/>
          <w:bCs/>
          <w:sz w:val="34"/>
          <w:u w:val="single"/>
        </w:rPr>
      </w:pPr>
      <w:r>
        <w:rPr>
          <w:b/>
          <w:b/>
          <w:bCs/>
          <w:sz w:val="34"/>
          <w:sz w:val="34"/>
          <w:u w:val="single"/>
          <w:rtl w:val="true"/>
        </w:rPr>
        <w:t>המזכירות תמציא העתק מגזר דין זה לממונה המחוזי על עבודות השירות ולשירות המבחן</w:t>
      </w:r>
      <w:r>
        <w:rPr>
          <w:b/>
          <w:bCs/>
          <w:sz w:val="34"/>
          <w:u w:val="single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34"/>
          <w:u w:val="single"/>
        </w:rPr>
      </w:pPr>
      <w:r>
        <w:rPr>
          <w:rFonts w:cs="Arial" w:ascii="Arial" w:hAnsi="Arial"/>
          <w:b/>
          <w:bCs/>
          <w:sz w:val="34"/>
          <w:u w:val="single"/>
          <w:rtl w:val="true"/>
        </w:rPr>
      </w:r>
    </w:p>
    <w:p>
      <w:pPr>
        <w:pStyle w:val="Normal"/>
        <w:ind w:end="0"/>
        <w:jc w:val="start"/>
        <w:rPr>
          <w:rFonts w:ascii="Times New Roman" w:hAnsi="Times New Roman" w:cs="Times New Roman"/>
          <w:sz w:val="28"/>
        </w:rPr>
      </w:pPr>
      <w:r>
        <w:rPr>
          <w:sz w:val="28"/>
          <w:sz w:val="28"/>
          <w:rtl w:val="true"/>
        </w:rPr>
        <w:t xml:space="preserve">זכות ערעור תוך </w:t>
      </w:r>
      <w:r>
        <w:rPr>
          <w:sz w:val="28"/>
        </w:rPr>
        <w:t>45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יום</w:t>
      </w:r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 שבט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28/01/2010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רונית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בש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הפקדתי סכום של </w:t>
      </w:r>
      <w:r>
        <w:rPr/>
        <w:t>750</w:t>
      </w:r>
      <w:r>
        <w:rPr>
          <w:rtl w:val="true"/>
        </w:rPr>
        <w:t xml:space="preserve"> ₪  </w:t>
      </w:r>
      <w:r>
        <w:rPr>
          <w:rtl w:val="true"/>
        </w:rPr>
        <w:t>במסגרת של ביצוע צו הבאה</w:t>
      </w:r>
      <w:r>
        <w:rPr>
          <w:rtl w:val="true"/>
        </w:rPr>
        <w:t xml:space="preserve">. </w:t>
      </w:r>
      <w:r>
        <w:rPr>
          <w:rtl w:val="true"/>
        </w:rPr>
        <w:t>אבקש שסכום זה ישמש לצורך תשלום חלק מהקנס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 המאשימה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כמבוקש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 שבט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28/01/2010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רונית בש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רונית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בש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קלדנית</w:t>
      </w:r>
      <w:r>
        <w:rPr>
          <w:rtl w:val="true"/>
        </w:rPr>
        <w:t xml:space="preserve">: </w:t>
      </w:r>
      <w:r>
        <w:rPr>
          <w:rtl w:val="true"/>
        </w:rPr>
        <w:t xml:space="preserve">אלגרבלי נטלי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נטלי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אלגרבלי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 למנויים על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חקיקה ועוד באתר נבו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7"/>
      <w:footerReference w:type="default" r:id="rId18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/Users/liorb/Downloads/study2025-p2/SH-08-07-10046-714.doc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עכו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10046-07-08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רגאב בכרי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hebrew1"/>
      <w:lvlText w:val="%1."/>
      <w:lvlJc w:val="end"/>
      <w:pPr>
        <w:tabs>
          <w:tab w:val="num" w:pos="720"/>
        </w:tabs>
        <w:ind w:start="720" w:hanging="360"/>
      </w:pPr>
      <w:rPr>
        <w:sz w:val="28"/>
        <w:szCs w:val="28"/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  <w:sz w:val="28"/>
      <w:szCs w:val="28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normal-h">
    <w:name w:val="normal-h"/>
    <w:qFormat/>
    <w:rPr>
      <w:rFonts w:ascii="Times New Roman" w:hAnsi="Times New Roman" w:cs="Times New Roman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normal-p">
    <w:name w:val="normal-p"/>
    <w:basedOn w:val="Normal"/>
    <w:qFormat/>
    <w:pPr>
      <w:bidi w:val="0"/>
      <w:spacing w:before="280" w:after="280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340" TargetMode="External"/><Relationship Id="rId6" Type="http://schemas.openxmlformats.org/officeDocument/2006/relationships/hyperlink" Target="http://www.nevo.co.il/law/70301/340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case/5852404" TargetMode="External"/><Relationship Id="rId10" Type="http://schemas.openxmlformats.org/officeDocument/2006/relationships/hyperlink" Target="http://www.nevo.co.il/case/5762686" TargetMode="External"/><Relationship Id="rId11" Type="http://schemas.openxmlformats.org/officeDocument/2006/relationships/hyperlink" Target="http://www.nevo.co.il/case/6104546" TargetMode="External"/><Relationship Id="rId12" Type="http://schemas.openxmlformats.org/officeDocument/2006/relationships/hyperlink" Target="http://www.nevo.co.il/law/70301/144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" TargetMode="External"/><Relationship Id="rId15" Type="http://schemas.openxmlformats.org/officeDocument/2006/relationships/hyperlink" Target="http://www.nevo.co.il/law/70301/340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2016-07-04T13:13:00Z</dcterms:created>
  <dc:creator> </dc:creator>
  <dc:description/>
  <cp:keywords/>
  <dc:language>en-IL</dc:language>
  <cp:lastModifiedBy>hofit</cp:lastModifiedBy>
  <dcterms:modified xsi:type="dcterms:W3CDTF">2016-07-04T13:13:00Z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רגאב בכרי</vt:lpwstr>
  </property>
  <property fmtid="{D5CDD505-2E9C-101B-9397-08002B2CF9AE}" pid="4" name="CASESLISTTMP1">
    <vt:lpwstr>5852404;5762686;6104546</vt:lpwstr>
  </property>
  <property fmtid="{D5CDD505-2E9C-101B-9397-08002B2CF9AE}" pid="5" name="CITY">
    <vt:lpwstr>עכו</vt:lpwstr>
  </property>
  <property fmtid="{D5CDD505-2E9C-101B-9397-08002B2CF9AE}" pid="6" name="DATE">
    <vt:lpwstr>20100128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רונית בש</vt:lpwstr>
  </property>
  <property fmtid="{D5CDD505-2E9C-101B-9397-08002B2CF9AE}" pid="10" name="LAWLISTTMP1">
    <vt:lpwstr>70301/340:2;144.a;144:2</vt:lpwstr>
  </property>
  <property fmtid="{D5CDD505-2E9C-101B-9397-08002B2CF9AE}" pid="11" name="LAWYER">
    <vt:lpwstr>גב' נעמה סולומון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10046</vt:lpwstr>
  </property>
  <property fmtid="{D5CDD505-2E9C-101B-9397-08002B2CF9AE}" pid="25" name="NEWPARTB">
    <vt:lpwstr>07</vt:lpwstr>
  </property>
  <property fmtid="{D5CDD505-2E9C-101B-9397-08002B2CF9AE}" pid="26" name="NEWPARTC">
    <vt:lpwstr>08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RemarkFileName">
    <vt:lpwstr>shalom sh 08 07 10046 714 htm</vt:lpwstr>
  </property>
  <property fmtid="{D5CDD505-2E9C-101B-9397-08002B2CF9AE}" pid="36" name="TYPE">
    <vt:lpwstr>3</vt:lpwstr>
  </property>
  <property fmtid="{D5CDD505-2E9C-101B-9397-08002B2CF9AE}" pid="37" name="TYPE_ABS_DATE">
    <vt:lpwstr>380020100128</vt:lpwstr>
  </property>
  <property fmtid="{D5CDD505-2E9C-101B-9397-08002B2CF9AE}" pid="38" name="TYPE_N_DATE">
    <vt:lpwstr>38020100128</vt:lpwstr>
  </property>
  <property fmtid="{D5CDD505-2E9C-101B-9397-08002B2CF9AE}" pid="39" name="VOLUME">
    <vt:lpwstr/>
  </property>
  <property fmtid="{D5CDD505-2E9C-101B-9397-08002B2CF9AE}" pid="40" name="WORDNUMPAGES">
    <vt:lpwstr>6</vt:lpwstr>
  </property>
</Properties>
</file>