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235"/>
        <w:gridCol w:w="1900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10171-06-22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662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בא כוח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דורית לוי פרנק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662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סובחי עמאש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בא כוח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מואסי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ממשרדו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בויארת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11" w:name="ABSTRACT_START"/>
      <w:bookmarkStart w:id="12" w:name="ABSTRACT_START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בעבירה של החזקה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 שבתאריך </w:t>
      </w:r>
      <w:r>
        <w:rPr>
          <w:rFonts w:cs="Arial" w:ascii="Arial" w:hAnsi="Arial"/>
        </w:rPr>
        <w:t>28.05.22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בביתו נשק דמוי תת מקלע מאולתר שמסוגל לירות כדור 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הנשק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בלא רשות על פי דין להחזקתו וזאת כעולה מפרוטוקול הדיון מתאריך </w:t>
      </w:r>
      <w:r>
        <w:rPr>
          <w:rFonts w:cs="Arial" w:ascii="Arial" w:hAnsi="Arial"/>
        </w:rPr>
        <w:t>19.09.22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בישיבה שהתקיימה בתאריך </w:t>
      </w:r>
      <w:r>
        <w:rPr>
          <w:rFonts w:cs="Arial" w:ascii="Arial" w:hAnsi="Arial"/>
        </w:rPr>
        <w:t>13.11.22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 טענו הצדדים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מטעם המאשימה הוגשו טיעונים בכתב ובא כוח הנאשם השמיע את טיעוניו בעל 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במסגרת טיעוניה לעבירה בה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 הקשורות בביצוע העבירה ולמדיניות הענישה הנוהגת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תמכה את טיעוניה בפסיקה שאוזכרה בסיכומים שהוגשו 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ועתרה לקביעת מתחם ענישה שנע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הטלת ענישה 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הצופה פני 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לעברו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שלחובתו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האמור ביקשה למקם את הנאשם באמצע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ההגנה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הנאשם עתר במסגרת טיעוניו להטלת ענישה פחותה מזו שהוצגה על ידי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לעמדתו העונש ההולם את העבירה בה הורשע הנאשם נע בין עונש מאסר אשר יכול וירוצה בעבודות שירות 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וזאת לאחר שהפנה את בית המשפט לפסיקה התומכת במתחם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 כוח הנאשם ציין כי אומנם לחובת מרשו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מדובר בהרשעות דומות לעבירה בה הורשע הנאשם בהליך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יש לזקוף לזכות הנאשם את העובדה שהודה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 שיפוטי יקר והביע חרטה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מאחר ומרשו עצור עד תום ההליכים מתאריך </w:t>
      </w:r>
      <w:r>
        <w:rPr>
          <w:rFonts w:cs="Arial" w:ascii="Arial" w:hAnsi="Arial"/>
        </w:rPr>
        <w:t>28.5.22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ביקש להסתפק בתקופת המעצר ולחילופין עתר להטלת מאסר לתקופה שלא תעלה על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ביקש לומר את דברו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שזו תהיה הפעם האחרונה והצטער על המעשה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עיגן את הבניית שיקול הדעת השיפוטי והעניק מעמד בכורה לעיקרון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קיומו של יחס הולם בין חומרת מעשי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לקבוע את מתחם העונש ההולם למעשה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יתחשב בית המשפט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במדיניות הענישה הנהוגה ובנסיבות הקשורות בביצוע העבירה המפורטות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לכשייקבע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יקבע בית המשפט את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יוטל על הנאשם וזאת בהתחשב בנסיבות שאינן קשורות בביצוע העבירה המפורטות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רשאי לחרוג ממתחם העונש ההולם בשל שיקולי שיקום או הגנה על שלום הציבור לפי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17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ה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ascii="Arial" w:hAnsi="Arial" w:cs="Arial"/>
          <w:rtl w:val="true"/>
        </w:rPr>
        <w:t xml:space="preserve"> הואיל ונשק המוחזק שלא כדין עלול להביא לפגיעה בשלטון החוק ובנושאי שלטון החוק המבצעים את תפקידם</w:t>
      </w:r>
      <w:r>
        <w:rPr>
          <w:rFonts w:cs="Arial" w:ascii="Arial" w:hAnsi="Arial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פסיקת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מחמירה מאוד בעבירה של החזקת נשק שלא כדין וזאת נוכח התופעה החמורה והמסוכנת של החזקת נשק בידיים שאינן מורשות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נשק שלא כדין יש בה כדי להוביל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אכן מובילה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למקרים חמורים של שימוש מסוכן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משום שהנשק מגיע לידיים עברייניות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כאשר הנשק מגיע לידי מי שמנסים לפגוע בביטחונם ובשלומם של תושבי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אם מחמת שנגרמות תאונות כתוצאה מהשימוש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חזר והזכיר רק לאחרונה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0" w:after="160"/>
        <w:ind w:start="360" w:end="0"/>
        <w:contextualSpacing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וראו 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472</w:t>
      </w:r>
      <w:r>
        <w:rPr>
          <w:rFonts w:cs="David" w:ascii="David" w:hAnsi="David"/>
          <w:b/>
          <w:bCs/>
          <w:rtl w:val="true"/>
        </w:rPr>
        <w:t>;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</w:t>
      </w:r>
      <w:r>
        <w:rPr>
          <w:rFonts w:cs="David" w:ascii="David" w:hAnsi="David"/>
        </w:rPr>
        <w:t>0</w:t>
      </w:r>
      <w:r>
        <w:rPr>
          <w:rFonts w:cs="David" w:ascii="David" w:hAnsi="David"/>
        </w:rPr>
        <w:t>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גם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קבע</w:t>
      </w:r>
      <w:r>
        <w:rPr>
          <w:rFonts w:ascii="Arial" w:hAnsi="Arial" w:cs="Arial"/>
          <w:rtl w:val="true"/>
        </w:rPr>
        <w:t xml:space="preserve"> עונש מינימום ביחס לעבירה בה הורשע הנאשם בהליך זה שלפני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שנכתב</w:t>
      </w:r>
      <w:r>
        <w:rPr>
          <w:rFonts w:ascii="Arial" w:hAnsi="Arial" w:cs="Arial"/>
          <w:rtl w:val="true"/>
        </w:rPr>
        <w:t xml:space="preserve">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ירין ביטון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14.02.21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>))...</w:t>
      </w:r>
      <w:r>
        <w:rPr>
          <w:rFonts w:ascii="Arial" w:hAnsi="Arial" w:cs="Arial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Arial" w:ascii="Arial" w:hAnsi="Arial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מגמת ההחמרה קיבלה ביטוי בפסיקתו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באשר לכל עבירות הנשק לרבות העבירות בהן עסקינן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rtl w:val="true"/>
        </w:rPr>
        <w:t>"(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ראו גם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13.02.22</w:t>
      </w:r>
      <w:r>
        <w:rPr>
          <w:rtl w:val="true"/>
        </w:rPr>
        <w:t>):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ושגרתיות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לפעמים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אלמנטרית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התנועה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ושאיפתה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ושונים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" –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שמתמקדת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ובתוצאה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" 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05.11.19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[...] </w:t>
      </w: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23517-02-20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אלכילאני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sz w:val="22"/>
          <w:rtl w:val="true"/>
        </w:rPr>
        <w:t>[</w:t>
      </w:r>
      <w:r>
        <w:rPr>
          <w:rFonts w:ascii="David" w:hAnsi="David"/>
          <w:sz w:val="22"/>
          <w:sz w:val="22"/>
          <w:rtl w:val="true"/>
        </w:rPr>
        <w:t>פורסם בנבו</w:t>
      </w:r>
      <w:r>
        <w:rPr>
          <w:rFonts w:cs="David" w:ascii="David" w:hAnsi="David"/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28.07.20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/>
          <w:b/>
          <w:b/>
          <w:bCs/>
          <w:rtl w:val="true"/>
        </w:rPr>
        <w:t>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ניכרת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במיוחד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התקופה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באה לידי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ביטוי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שהסף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התחתון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דהיינו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מאפשר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rtl w:val="true"/>
        </w:rPr>
        <w:t xml:space="preserve">." </w:t>
      </w:r>
      <w:r>
        <w:rPr>
          <w:rFonts w:ascii="David" w:hAnsi="David"/>
          <w:rtl w:val="true"/>
        </w:rPr>
        <w:t>וכן בהמשך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נסכם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הדברים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גזר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שהסתפק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יכול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לעמוד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שהפכה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והביאה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כשבית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נקרא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start="0" w:end="0"/>
        <w:jc w:val="both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הפרט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סקירת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מלמדת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טווח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התלוי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לרוב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ומקרה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start="0" w:end="0"/>
        <w:jc w:val="both"/>
        <w:rPr/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0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545/20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פלוני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3.5.21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שהמערער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נקי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באחזקת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אקדח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מחסנית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תואמת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-</w:t>
      </w:r>
      <w:r>
        <w:rPr>
          <w:rFonts w:cs="David" w:ascii="Times New Roman" w:hAnsi="Times New Roman"/>
          <w:spacing w:val="0"/>
          <w:sz w:val="24"/>
          <w:szCs w:val="24"/>
        </w:rPr>
        <w:t>50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כדורים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.</w:t>
      </w:r>
    </w:p>
    <w:p>
      <w:pPr>
        <w:pStyle w:val="ruller5"/>
        <w:spacing w:lineRule="auto" w:line="360"/>
        <w:ind w:start="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5"/>
        <w:spacing w:lineRule="auto" w:line="360"/>
        <w:ind w:start="0" w:end="0"/>
        <w:jc w:val="both"/>
        <w:rPr/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5765/20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בכר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22.3.21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18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שהמערערים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נקי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בהובלת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אקדחים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טעונים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במחסנית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מלאה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ונאמר</w:t>
      </w:r>
      <w:r>
        <w:rPr>
          <w:rFonts w:cs="David" w:ascii="David" w:hAnsi="David"/>
          <w:spacing w:val="0"/>
          <w:sz w:val="24"/>
          <w:szCs w:val="24"/>
          <w:rtl w:val="true"/>
        </w:rPr>
        <w:t>: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יש להצר על כך שהמערערים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שאין להם עבר פלילי ולא הסתבכו בעבירות נוספות מאז האירוע נשוא כתב האישום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הסתבכו בעבירות כגון דא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ברם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מדיניות הענישה בעבירות נשק ידועה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המדובר ב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שאת פירות הבאושים שלה אנו חווים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לצערנו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כמעט מידי יום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ומכאן מדיניות ההחמרה בעבירות כגון דא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."</w:t>
      </w:r>
    </w:p>
    <w:p>
      <w:pPr>
        <w:pStyle w:val="ruller5"/>
        <w:spacing w:lineRule="auto" w:line="360"/>
        <w:ind w:start="0" w:end="0"/>
        <w:jc w:val="both"/>
        <w:rPr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</w:r>
    </w:p>
    <w:p>
      <w:pPr>
        <w:pStyle w:val="ruller5"/>
        <w:spacing w:lineRule="auto" w:line="360"/>
        <w:ind w:start="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4079/21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פלוני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20.6.21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6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חריגה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ממתחם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שיקום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ונקבע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: 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שהדגשתי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פעם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אחר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פעם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הסיכון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הכרוך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נובע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מהנזק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הפוטנציאלי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עלול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להיגרם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נתפס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בטרם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התממש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בפרט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קיים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סיכון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שאנחנו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נוכחים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לדעת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אחת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עלול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להגיע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לידיים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עברייניות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וייעשה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יוביל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בסופו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יום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לגביית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מחירים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כבדים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בנפש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."</w:t>
      </w:r>
    </w:p>
    <w:p>
      <w:pPr>
        <w:pStyle w:val="ruller5"/>
        <w:ind w:start="0" w:end="1282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David" w:hAnsi="David" w:cs="David"/>
          <w:spacing w:val="0"/>
          <w:sz w:val="24"/>
          <w:sz w:val="24"/>
          <w:szCs w:val="24"/>
          <w:rtl w:val="true"/>
        </w:rPr>
        <w:t>ב</w:t>
      </w:r>
      <w:hyperlink r:id="rId33"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0"/>
            <w:sz w:val="24"/>
            <w:szCs w:val="24"/>
            <w:u w:val="single"/>
          </w:rPr>
          <w:t>3619/21</w:t>
        </w:r>
      </w:hyperlink>
      <w:r>
        <w:rPr>
          <w:rFonts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אבו הלאל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26.5.21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ונאמר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החזקת נשק חם בידי מי שאינו מורשה לכך עלול להוביל לתוצאות הרות אסון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על כן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העובדה כי לא נגרמה פגיעה בחיי אדם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ראוי להטיל ענישה מוחשית אשר יש בה כדי להרתיע עבריינים פוטנציאליים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(</w:t>
      </w:r>
      <w:hyperlink r:id="rId34">
        <w:r>
          <w:rPr>
            <w:rStyle w:val="Hyperlink"/>
            <w:rFonts w:ascii="David" w:hAnsi="David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0"/>
            <w:sz w:val="24"/>
            <w:szCs w:val="24"/>
            <w:u w:val="single"/>
          </w:rPr>
          <w:t>5613/20</w:t>
        </w:r>
      </w:hyperlink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] (</w:t>
      </w:r>
      <w:r>
        <w:rPr>
          <w:rFonts w:cs="David" w:ascii="David" w:hAnsi="David"/>
          <w:b/>
          <w:bCs/>
          <w:spacing w:val="0"/>
          <w:sz w:val="24"/>
          <w:szCs w:val="24"/>
        </w:rPr>
        <w:t>25.8.2020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); </w:t>
      </w:r>
      <w:hyperlink r:id="rId35">
        <w:r>
          <w:rPr>
            <w:rStyle w:val="Hyperlink"/>
            <w:rFonts w:ascii="David" w:hAnsi="David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0"/>
            <w:sz w:val="24"/>
            <w:szCs w:val="24"/>
            <w:u w:val="single"/>
          </w:rPr>
          <w:t>4065/18</w:t>
        </w:r>
      </w:hyperlink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איאסו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] (</w:t>
      </w:r>
      <w:r>
        <w:rPr>
          <w:rFonts w:cs="David" w:ascii="David" w:hAnsi="David"/>
          <w:b/>
          <w:bCs/>
          <w:spacing w:val="0"/>
          <w:sz w:val="24"/>
          <w:szCs w:val="24"/>
        </w:rPr>
        <w:t>30.8.2018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במכלול הנסיבות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אני סבור כי העונש שהושת על המבקשים אף מקל עמם ואין בו כדי לבטא את החומרה שיש בהחזקת כלי הנשק המאולתרים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pacing w:val="0"/>
          <w:sz w:val="24"/>
          <w:szCs w:val="24"/>
        </w:rPr>
      </w:pP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08.12.14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4722/20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בזייג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09.08.20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50840-03-22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04.04.22</w:t>
      </w:r>
      <w:r>
        <w:rPr>
          <w:sz w:val="22"/>
          <w:rtl w:val="true"/>
        </w:rPr>
        <w:t>)</w:t>
      </w:r>
      <w:r>
        <w:rPr>
          <w:sz w:val="22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מוסמכות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נועדו לזרוע הרס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חורבן ואובדן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הם נועדו להרוג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 שמדובר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התקפי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דוגמת מקלע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ההרס וההרג אשר יש בכוחם לזרוע רבה יותר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מדינה ריבונית איננה יכולה לקבל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תופעה של החזקת כמות אדירה של נשק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בקרב אזרחיה ותושביה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שכזו פוגעת בעצם משילותה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פוגעת בסדר הטוב שבה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חותרת תחת שלומם וביטחונם של אזרחיה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אף עלולה להקים סימן שאלה על עצם קיומה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12888-03-22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07.11.22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המחוזי בחיפה את ערעור המדינה על קולת העונש שהוטל על הנאשם שהורשע בהחזקת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 והחמיר עונשו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שם היה מבוגר בעל משפחה במצב כלכלי ירוד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הסובל ממגבלות בריאותיות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.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22.11.20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קיפדו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ascii="Arial" w:hAnsi="Arial" w:cs="Arial"/>
          <w:rtl w:val="true"/>
        </w:rPr>
        <w:t>משנאמר 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בחומרת המעש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 ובמדיניות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בהודאתו של הנאשם ובנסיבות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עריכת איזון בין רכיבי הענישה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לעתירת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לנכון למקם את עונשו של הנאשם מעט מעל תחתית המתחם ולכן אני מטיל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rtl w:val="true"/>
        </w:rPr>
        <w:t>וזאת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בהתאם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לרישומי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ס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לשלם את הקנס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ימים מרגע מתן גזר הדין ועד ליום </w:t>
      </w:r>
      <w:r>
        <w:rPr>
          <w:rFonts w:cs="David" w:ascii="David" w:hAnsi="David"/>
        </w:rPr>
        <w:t>1/6/23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41">
        <w:r>
          <w:rPr>
            <w:rStyle w:val="Hyperlink"/>
            <w:rFonts w:cs="Arial" w:ascii="Arial" w:hAnsi="Arial"/>
          </w:rPr>
          <w:t>www.eca.gov.il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לשלם בפריסה של 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בהסדר קרדיט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–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ניתן לפנות לנציגים לקבלת מידע במספרים הללו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ניתן בזאת צו להשמדת מוצגים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10171-06-22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סובחי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normal-h">
    <w:name w:val="normal-h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d" TargetMode="External"/><Relationship Id="rId17" Type="http://schemas.openxmlformats.org/officeDocument/2006/relationships/hyperlink" Target="http://www.nevo.co.il/law/70301/40e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8513828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safrut/bookgroup/41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28883087" TargetMode="External"/><Relationship Id="rId26" Type="http://schemas.openxmlformats.org/officeDocument/2006/relationships/hyperlink" Target="http://www.nevo.co.il/case/28697218" TargetMode="External"/><Relationship Id="rId27" Type="http://schemas.openxmlformats.org/officeDocument/2006/relationships/hyperlink" Target="http://www.nevo.co.il/case/27925239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case/26442335" TargetMode="External"/><Relationship Id="rId30" Type="http://schemas.openxmlformats.org/officeDocument/2006/relationships/hyperlink" Target="http://www.nevo.co.il/case/26383419" TargetMode="External"/><Relationship Id="rId31" Type="http://schemas.openxmlformats.org/officeDocument/2006/relationships/hyperlink" Target="http://www.nevo.co.il/case/26931111" TargetMode="External"/><Relationship Id="rId32" Type="http://schemas.openxmlformats.org/officeDocument/2006/relationships/hyperlink" Target="http://www.nevo.co.il/case/27693610" TargetMode="External"/><Relationship Id="rId33" Type="http://schemas.openxmlformats.org/officeDocument/2006/relationships/hyperlink" Target="http://www.nevo.co.il/case/27648787" TargetMode="External"/><Relationship Id="rId34" Type="http://schemas.openxmlformats.org/officeDocument/2006/relationships/hyperlink" Target="http://www.nevo.co.il/case/26913995" TargetMode="External"/><Relationship Id="rId35" Type="http://schemas.openxmlformats.org/officeDocument/2006/relationships/hyperlink" Target="http://www.nevo.co.il/case/24263426" TargetMode="External"/><Relationship Id="rId36" Type="http://schemas.openxmlformats.org/officeDocument/2006/relationships/hyperlink" Target="http://www.nevo.co.il/case/16944929" TargetMode="External"/><Relationship Id="rId37" Type="http://schemas.openxmlformats.org/officeDocument/2006/relationships/hyperlink" Target="http://www.nevo.co.il/case/26833934" TargetMode="External"/><Relationship Id="rId38" Type="http://schemas.openxmlformats.org/officeDocument/2006/relationships/hyperlink" Target="http://www.nevo.co.il/case/28424228" TargetMode="External"/><Relationship Id="rId39" Type="http://schemas.openxmlformats.org/officeDocument/2006/relationships/hyperlink" Target="http://www.nevo.co.il/case/28378067" TargetMode="External"/><Relationship Id="rId40" Type="http://schemas.openxmlformats.org/officeDocument/2006/relationships/hyperlink" Target="http://www.nevo.co.il/case/26888657" TargetMode="External"/><Relationship Id="rId41" Type="http://schemas.openxmlformats.org/officeDocument/2006/relationships/hyperlink" Target="http://www.eca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2023-12-20T14:41:00Z</dcterms:created>
  <dc:creator> </dc:creator>
  <dc:description/>
  <cp:keywords/>
  <dc:language>en-IL</dc:language>
  <cp:lastModifiedBy>h2</cp:lastModifiedBy>
  <dcterms:modified xsi:type="dcterms:W3CDTF">2023-12-20T14:41:00Z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סובחי עמאש</vt:lpwstr>
  </property>
  <property fmtid="{D5CDD505-2E9C-101B-9397-08002B2CF9AE}" pid="4" name="BOOKGROUPTMP1">
    <vt:lpwstr>412</vt:lpwstr>
  </property>
  <property fmtid="{D5CDD505-2E9C-101B-9397-08002B2CF9AE}" pid="5" name="CASESLISTTMP1">
    <vt:lpwstr>28513828;27309272;25824863:2;28883087;28697218;27925239;26442335;26383419;26931111;27693610;27648787;26913995;24263426;16944929;26833934;28424228;28378067;26888657</vt:lpwstr>
  </property>
  <property fmtid="{D5CDD505-2E9C-101B-9397-08002B2CF9AE}" pid="6" name="CITY">
    <vt:lpwstr>חד'</vt:lpwstr>
  </property>
  <property fmtid="{D5CDD505-2E9C-101B-9397-08002B2CF9AE}" pid="7" name="DATE">
    <vt:lpwstr>20221206</vt:lpwstr>
  </property>
  <property fmtid="{D5CDD505-2E9C-101B-9397-08002B2CF9AE}" pid="8" name="ISABSTRACT">
    <vt:lpwstr>Y</vt:lpwstr>
  </property>
  <property fmtid="{D5CDD505-2E9C-101B-9397-08002B2CF9AE}" pid="9" name="JUDGE">
    <vt:lpwstr>אלכס אחטר</vt:lpwstr>
  </property>
  <property fmtid="{D5CDD505-2E9C-101B-9397-08002B2CF9AE}" pid="10" name="LAWLISTTMP1">
    <vt:lpwstr>70301/144.a;040i;40ja;040d;040e</vt:lpwstr>
  </property>
  <property fmtid="{D5CDD505-2E9C-101B-9397-08002B2CF9AE}" pid="11" name="LAWYER">
    <vt:lpwstr>דורית לוי פרנק;מוחמד מואסי </vt:lpwstr>
  </property>
  <property fmtid="{D5CDD505-2E9C-101B-9397-08002B2CF9AE}" pid="12" name="NEWPARTA">
    <vt:lpwstr>10171</vt:lpwstr>
  </property>
  <property fmtid="{D5CDD505-2E9C-101B-9397-08002B2CF9AE}" pid="13" name="NEWPARTB">
    <vt:lpwstr>06</vt:lpwstr>
  </property>
  <property fmtid="{D5CDD505-2E9C-101B-9397-08002B2CF9AE}" pid="14" name="NEWPARTC">
    <vt:lpwstr>22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380020221206</vt:lpwstr>
  </property>
  <property fmtid="{D5CDD505-2E9C-101B-9397-08002B2CF9AE}" pid="19" name="TYPE_N_DATE">
    <vt:lpwstr>38020221206</vt:lpwstr>
  </property>
  <property fmtid="{D5CDD505-2E9C-101B-9397-08002B2CF9AE}" pid="20" name="WORDNUMPAGES">
    <vt:lpwstr>9</vt:lpwstr>
  </property>
</Properties>
</file>