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66"/>
        <w:gridCol w:w="3672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6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10180-01-24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עוסמאן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5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fldChar w:fldCharType="begin"/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instrText xml:space="preserve"> DATE \@"dd\ MMMM\ yyyy" </w:instrText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fldChar w:fldCharType="separate"/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t>08 אפריל 2025</w:t>
            </w:r>
            <w:r>
              <w:rPr>
                <w:rtl w:val="true"/>
                <w:sz w:val="26"/>
                <w:b/>
                <w:szCs w:val="26"/>
                <w:bCs/>
                <w:rFonts w:cs="David" w:ascii="David" w:hAnsi="David"/>
              </w:rPr>
              <w:fldChar w:fldCharType="end"/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אינאס סלאמה</w:t>
            </w:r>
            <w:r>
              <w:rPr>
                <w:rStyle w:val="TimesNewRomanTimesNewRoman"/>
                <w:rFonts w:ascii="David" w:hAnsi="David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עאדל דבאח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ודיע עוסמאן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עאדל דבאח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32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3,500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ובראשם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ושלומו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וודאי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יצדיקו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3,500</w:t>
      </w:r>
      <w:r>
        <w:rPr>
          <w:rFonts w:cs="FrankRuehl"/>
          <w:szCs w:val="26"/>
          <w:rtl w:val="true"/>
        </w:rPr>
        <w:t xml:space="preserve"> ₪.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48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9" w:name="PsakDin"/>
      <w:bookmarkEnd w:id="9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PsakDin"/>
      <w:bookmarkEnd w:id="10"/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הושג בשלביו המוקדמים של ההליך המשפטי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נשמעו 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זה לא כלל הסכמה בדבר העונש הראוי כי ייגזר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טענו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לאחר הפניית עניינו של הנאשם לשירות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תובאנה בעיקרן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עבדאללה איוב יליד 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 תושב כפר נחף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ובינו לבין הנאשם קיים קשר חברות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עבדאללה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עבדאללה מתגורר בבית בכפר נחף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וסמוך לביתו יש מוסך לו צמודה חצר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המוסך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b/>
          <w:b/>
          <w:bCs/>
          <w:rtl w:val="true"/>
        </w:rPr>
        <w:t>החצר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ממועד שאינו ידוע במדויק למאשימה ועד לתאריך </w:t>
      </w:r>
      <w:r>
        <w:rPr>
          <w:rFonts w:cs="David" w:ascii="David" w:hAnsi="David"/>
        </w:rPr>
        <w:t>8.12.2023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עבדאללה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שחור חצי אוטומטי </w:t>
      </w:r>
      <w:r>
        <w:rPr>
          <w:rFonts w:cs="David" w:ascii="David" w:hAnsi="David"/>
        </w:rPr>
        <w:t>Smith &amp; Wesson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טעון במחסנית מתאימה ובתוכה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 השחור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8.12.2023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ועבדאללה קשרו קשר לירות על ביתו של תושב הכפר שנמצא בסמוך לבית הקברות בכפר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התכנית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בית הקברות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התכנית ולשם קידומה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8.12.2023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לביתו של עבדאללה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כשהנאשם נושא ומוביל על גופו אקדח כסוף חצי אוטומטי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מחסנית מתאימה לאקדח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 הכסוף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האקדח השחור והאקדח הכסוף ייקראו יחד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האקדחים</w:t>
      </w:r>
      <w:r>
        <w:rPr>
          <w:rFonts w:cs="David" w:ascii="David" w:hAnsi="David"/>
          <w:rtl w:val="true"/>
        </w:rPr>
        <w:t xml:space="preserve">").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האקדחים הם כלי נשק שסוגלו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והמחסניות והכדורים הם אביזר ותחמושת לכלי נשק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23:45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הוצאת התכנית לפועל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ועבדאללה הצטיידו באקדחים ויצאו מהמוסך כשהם נושאים ומובילים את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 ובלא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על גופו של הנאשם האקדח הכסוף ועל גופו של עבדאללה האקדח השחור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ועבדאללה לבשו על פניהם רעלות ועטו על ידיהם כפפות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להסתיר זהותם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ועבדאללה הלכו לכיוון בית הקברות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נושאים ומובילים את האקדחים ברחובות הכפר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מהזמן תוך כדי 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במשך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עברה במקום ניידת משטרתית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ומשהבחינו בה הנאשם ועבדאללה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מיד נמלטו בריצה מהמקום וחזרו למוסך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נושאים ומובילים את האקדחים על גופם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משהגיעו הנאשם ועבדאללה למוסך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הורידו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רעלות הפנים והכפפות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והכניסו את האקדחים לתוך שקית ניילון שחורה אשר הוכנסה לשקית ניילון שקופה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עבדאללה לקח את השקית שבתוכה האקדחים והטמין אותם בתוך האדמה בחצר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עשו הנאשמים בצוותא חדא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האקדחים נתפסו על ידי משטרת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בתסקיר שערך שירות המבחן על אודות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להחלטתי ובשים לב לחובה שבדין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כפי שסיכמו הצדדים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פורט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מעצרו התגורר בבית סבתו בכפר נחף ועבד בריצוף יחד עם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הבן הבכור במשפחה המונה זוג הורים גרושים ושלושה אחים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 של הנאשם עקרת בית וכיום מתגוררת בעכו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גירושי הוריו ומשאביו התחתן בשנית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סבתו של הנאשם מצד אביו טיפלה בו ובאחיו מגיל צעיר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התקשה לקחת אחריות מלאה על התנהגותו ומסר כי ביום האירוע היה תחת השפעת אלכוהול ונגרר על ידי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שותפיו לעבירה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הוא התקשה להתבונן בהתנהגותו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להביע אמפטיה או הבנה לפוטנציאל הפגיעה מעצם התנהגותו בעבירה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נעדר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בהערכת הסיכון לעבריינות והסיכוי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התרשם שירות המבחן מנאשם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בעל כוחות ויכולות תקינים לניהול אורח חיים ללא דפוסים אנטיסוציאליים מושרשים בהתנהגותו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המקבל חיזוק בעובדה כי אין היסטוריה עבריינית בעברו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מן הצד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הנאשם ניסה ליצור רושם חיובי ומתפקד תוך התייחסות לא כנה ולא מעמיקה אודות תנאי גדילתו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מנאשם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בעל סף תסכול נמוך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 מתייחס באופן שטחי לעבירה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נכונות או מוטיבציה לעריכת שינוי באמצעות גורמי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ובהעדר נטילת אחריות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הפרוגנוזה השיקומית בעניינו של הנאשם הינה שלילית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בהמלצה טיפולית או שיקומית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המאשימה כי הנאשם עצור בתיק זה מיום </w:t>
      </w:r>
      <w:r>
        <w:rPr>
          <w:rFonts w:cs="David" w:ascii="David" w:hAnsi="David"/>
        </w:rPr>
        <w:t>9.12.2023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 את העובדה כי מדובר בנשיאה והובלה של שני אקדחים מוכנים לירי עם מחסניות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באמצעותם יצאו הנאשם ועבדאללה לבצע ירי על בית של אדם אחר בכפר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פגיעה חמורה בביטחון ובשלום הציבור וגם בשלטון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דף עם תקציר של פסיקה אליה הפנה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שציין כי בית המשפט העליון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קובע פעם אחר פעם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כי העונש הסביר והראוי על נשיאה והובלה חד פעמית הוא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נסיבה מחמירה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הנשק הוחזק לביצוע עבירה אחרת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להנחיית פרקליט המדינה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שקובע גם מתחם של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המתחם הבסיסי על אקדח בודד ללא כוונות נלוות וללא עבירות נלוות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שקובע עונש מינימום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לתסקיר שירות המבחן ולכך כי נשללה נזקקות וצורך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ששירות המבחן לא בא בהמלצה טיפולית כלשהי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לכן מה שיש לבית המשפט זה הלימה כמה מעשה והעבירה חמור ומה העונש שהוא צריך לקבל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>"</w:t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לקביעת מתחם עונש הולם שנע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עונשים נלווים של קנס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בתוך המתחם ונוכח הגיל הצעיר והעדר העבר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התסקיר השלילי מאידך גיסא והצורך בהרתעת הרבים והיחיד מביצוע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לקבוע את העונש באמצע המתחם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הגיש טיעון כתוב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ובחר בפתח טיעוניו להתייחס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שטען כי לא נכללה בו הערכת מסוכנות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מאחר והנאשם הודה בהזדמנות הראשונה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והוביל לפענוח הפרשה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תוך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פתח את לבו מכיוון שהייתה לו כוונה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לפתוח דף חדש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רוצה הסנגור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מקבל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במיוחד שעה שלא מדובר במי שתכנן את המעשים עצמם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טיעון לו התנגדה המאשימה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לגבי המתחם לו עתרה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הסנגור כי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בכלל המום מהמתחם אליו טען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כשיש פסיקה חדשה טרייה כבר בשבוע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מחודש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מהשנה הזאת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אשר בגין נסיבות חמורות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הסתפקה בענישה פחותה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המתחם בעניינו של הנאשם אמור לנוע בין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הסתפקות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בתקופת המעצר שריצה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']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 מאסר בפועל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הפנה לפסיקה ממנה ביקש ללמוד על מדיניות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הסנגור כי מדובר בנאשם ללא עבר פלילי שעזר והביא לפענוח המקרה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מיוחסת לנאשם עבירה הנוגעת לשני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האקדח הנוסף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מייחס לו מכח דיני חדא בצוותא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הוא ביקש להתחשב בגילו של הנאשם ובנסיבות האישיות כפי שקיבלו ביטוי בתסקיר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אמר הנאשם את דברו כדלקמן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אני מצטער על כל מה שעשיתי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מבקש שתינתן לי הזדמנות ללכת בדרך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מבקש לבנות את 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ללכת בדרך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לעזור לאבי ולאחים שלי לפרנסת המשפחה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תודה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על פי הודאתו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גלומה בהן פגיעה אשר אינה מבוטלת בשורת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נשיאתו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ייערך בו שימוש אשר סופו גרימת נזק רב עד מאוד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והיה זה הנאשם אשר היה עושה שימוש בנשק ביום מן הימים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והיה זה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פגיעה הן בהיבט הפרט של מי אשר השימוש בנשק מכוון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בהיבט הציבור בכללותו להתהלך באין מפריע ובבטחה במרחב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העובדה כי מדובר בשני אקדחים בהם החזיקו הנאשם ועבדאללה ואשר היו טעונים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האקדחים הייתה לצורך קידום תכנית עבריינית לירות על ביתו של 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ושותפו נשאו והובילו את האקדחים ברחובות הכפר במשך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רק משעברה במקום ניידת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ושותפו נמלטו בחזרה למוסך ובכך נבלמה התכנית ולא יצאה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כשבסופו של דבר כלי הנשק אף נתפסו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על כך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בהמשך פסק הדין בעניין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כך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ובמגזר הערבי בפרט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אלו מגלמות סיכון רבתי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לביטחונו ולסדר 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חומרת העבירה ומגמת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'".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7971/23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26.5.2024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וכפייה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tl w:val="true"/>
        </w:rPr>
        <w:t xml:space="preserve">).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השיגוהו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>]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הושתו בבית המשפט המחוזי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28.7.2022</w:t>
      </w:r>
      <w:r>
        <w:rPr>
          <w:rtl w:val="true"/>
        </w:rPr>
        <w:t xml:space="preserve">) -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)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")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),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בהפנותה לפסק דין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הבליטה המאשימה את שנאמר 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לפסק הדין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מאסר בפועל בסביבתן של שלוש שנים הולם הובלה ונשיאה חד פעמית של נשק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]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8.3.2017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העבירות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 הנאשם בעובדות המיוחסות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ניתנה בשלביו הראשונים והמוקדמים של ההליך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היא לחיסכון בזמן שיפוטי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להוסיף את הצער והחרטה אותם הביע הנאשם 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משקל של ממש יש ליתן גם לגילו הצעיר של הנאשם בעת ביצוע העבירות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ולעובדה כי זוהי 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כי לא עומדות לחובתו הרשעות קודמות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נתתי דעתי גם לעובדה שעלתה מטיעוני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שיתף פעולה והביא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 שיתוף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לפענוח התיק ולתפיסת האקדחים על ידי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נתתי דעתי גם לנסיבות האישיות כפי שקיבלו ביטוי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לעובדה כי הנאשם גדל ללא דמות דומיננטית של אמא או אבא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למעשה הייתה זו סבתו אשר טיפלה בו ובאחיו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ועמה הם התגוררו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צבר שיקולים אלו פועל כולו לזכות הנאשם ויש בו די על מנת למקם את עונשו של הנאשם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)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</w:t>
      </w:r>
      <w:r>
        <w:rPr>
          <w:rFonts w:ascii="David" w:hAnsi="David"/>
          <w:rtl w:val="true"/>
        </w:rPr>
        <w:t>שעסקינן בעבירות נשק שהפכו למכת מדינה באופן אשר יש בו להצדיק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המתאימים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החמרה בענישה אף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במקרה דנן להטיל עונש ברף התחתון של המתחם בהתחשב ב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אותם שיקולים לקולא שפורטו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שלושים ושניים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  <w:sz w:val="24"/>
          <w:szCs w:val="24"/>
        </w:rPr>
        <w:t>9.12.2023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3,500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8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48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10180-01-24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ודיע עוסמאן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986791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8513828" TargetMode="External"/><Relationship Id="rId12" Type="http://schemas.openxmlformats.org/officeDocument/2006/relationships/hyperlink" Target="http://www.nevo.co.il/case/30168342" TargetMode="External"/><Relationship Id="rId13" Type="http://schemas.openxmlformats.org/officeDocument/2006/relationships/hyperlink" Target="http://www.nevo.co.il/case/28883087" TargetMode="External"/><Relationship Id="rId14" Type="http://schemas.openxmlformats.org/officeDocument/2006/relationships/hyperlink" Target="http://www.nevo.co.il/case/28697227" TargetMode="External"/><Relationship Id="rId15" Type="http://schemas.openxmlformats.org/officeDocument/2006/relationships/hyperlink" Target="http://www.nevo.co.il/case/27716369" TargetMode="External"/><Relationship Id="rId16" Type="http://schemas.openxmlformats.org/officeDocument/2006/relationships/hyperlink" Target="http://www.nevo.co.il/case/27494821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6931111" TargetMode="External"/><Relationship Id="rId19" Type="http://schemas.openxmlformats.org/officeDocument/2006/relationships/hyperlink" Target="http://www.nevo.co.il/case/27087184" TargetMode="External"/><Relationship Id="rId20" Type="http://schemas.openxmlformats.org/officeDocument/2006/relationships/hyperlink" Target="http://www.nevo.co.il/case/26888657" TargetMode="External"/><Relationship Id="rId21" Type="http://schemas.openxmlformats.org/officeDocument/2006/relationships/hyperlink" Target="http://www.nevo.co.il/case/25612982" TargetMode="External"/><Relationship Id="rId22" Type="http://schemas.openxmlformats.org/officeDocument/2006/relationships/hyperlink" Target="http://www.nevo.co.il/case/22006503" TargetMode="External"/><Relationship Id="rId23" Type="http://schemas.openxmlformats.org/officeDocument/2006/relationships/hyperlink" Target="http://www.nevo.co.il/case/21474168" TargetMode="External"/><Relationship Id="rId24" Type="http://schemas.openxmlformats.org/officeDocument/2006/relationships/hyperlink" Target="http://www.nevo.co.il/case/587868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eca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2024-10-08T12:18:00Z</dcterms:created>
  <dc:creator> </dc:creator>
  <dc:description/>
  <cp:keywords/>
  <dc:language>en-IL</dc:language>
  <cp:lastModifiedBy>orly</cp:lastModifiedBy>
  <dcterms:modified xsi:type="dcterms:W3CDTF">2024-10-08T12:18:00Z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ודיע עוסמאן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29867910;28513828;30168342;28883087;28697227;27716369;27494821;26383419;26931111;27087184;26888657;25612982;22006503;21474168;5878682</vt:lpwstr>
  </property>
  <property fmtid="{D5CDD505-2E9C-101B-9397-08002B2CF9AE}" pid="9" name="CITY">
    <vt:lpwstr>חי'</vt:lpwstr>
  </property>
  <property fmtid="{D5CDD505-2E9C-101B-9397-08002B2CF9AE}" pid="10" name="DATE">
    <vt:lpwstr>20241001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70301/144.b;029;40ja</vt:lpwstr>
  </property>
  <property fmtid="{D5CDD505-2E9C-101B-9397-08002B2CF9AE}" pid="15" name="LAWYER">
    <vt:lpwstr>עאדל 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10180</vt:lpwstr>
  </property>
  <property fmtid="{D5CDD505-2E9C-101B-9397-08002B2CF9AE}" pid="23" name="NEWPARTB">
    <vt:lpwstr>01</vt:lpwstr>
  </property>
  <property fmtid="{D5CDD505-2E9C-101B-9397-08002B2CF9AE}" pid="24" name="NEWPARTC">
    <vt:lpwstr>24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20241009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390120241001</vt:lpwstr>
  </property>
  <property fmtid="{D5CDD505-2E9C-101B-9397-08002B2CF9AE}" pid="69" name="TYPE_N_DATE">
    <vt:lpwstr>39020241001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