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10216-05-15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עיאדה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גונן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סגן נשיאה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פמ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ירון סעדון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מחמד אבו עיאדה</w:t>
            </w:r>
            <w:r>
              <w:rPr>
                <w:rFonts w:eastAsia="Times New Roman" w:cs="Times New Roman" w:ascii="Times New Roman" w:hAnsi="Times New Roman"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בעצמו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ד איל אביטל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 w:before="120" w:after="0"/>
        <w:ind w:start="360"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120" w:after="0"/>
        <w:ind w:start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bookmarkStart w:id="6" w:name="PsakDin"/>
      <w:bookmarkStart w:id="7" w:name="ABSTRACT_START"/>
      <w:bookmarkEnd w:id="6"/>
      <w:bookmarkEnd w:id="7"/>
      <w:r>
        <w:rPr>
          <w:rtl w:val="true"/>
        </w:rPr>
        <w:t>הנאשם הורשע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בעבירה של החזקת נשק ותחמושת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ב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bookmarkStart w:id="8" w:name="ABSTRACT_END"/>
      <w:bookmarkEnd w:id="8"/>
      <w:r>
        <w:rPr>
          <w:rtl w:val="true"/>
        </w:rPr>
        <w:t xml:space="preserve">נסיבות המקרה הן שביום </w:t>
      </w:r>
      <w:r>
        <w:rPr/>
        <w:t>3.5.2015</w:t>
      </w:r>
      <w:r>
        <w:rPr>
          <w:rtl w:val="true"/>
        </w:rPr>
        <w:t xml:space="preserve"> </w:t>
      </w:r>
      <w:r>
        <w:rPr>
          <w:rtl w:val="true"/>
        </w:rPr>
        <w:t>החזיק הנאשם בחצר בית רובה מאולתר מסוג קלצ</w:t>
      </w:r>
      <w:r>
        <w:rPr>
          <w:rtl w:val="true"/>
        </w:rPr>
        <w:t>'</w:t>
      </w:r>
      <w:r>
        <w:rPr>
          <w:rtl w:val="true"/>
        </w:rPr>
        <w:t>ניקוב במחסנית שהייתה טעונה 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 רובע תואמים</w:t>
      </w:r>
      <w:r>
        <w:rPr>
          <w:rtl w:val="true"/>
        </w:rPr>
        <w:t xml:space="preserve">, </w:t>
      </w:r>
      <w:r>
        <w:rPr>
          <w:rtl w:val="true"/>
        </w:rPr>
        <w:t xml:space="preserve">וכן בכדורי רובה נוספים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</w:t>
      </w:r>
      <w:r>
        <w:rPr>
          <w:rtl w:val="true"/>
        </w:rPr>
        <w:t>-</w:t>
      </w:r>
      <w:r>
        <w:rPr/>
        <w:t>7.62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הרובה היה מונח עטוף בתוך חולצה והתחמושת הייתה אף היא עטופה בצד בשקית נפרדת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הצדדים הגיעו להסדר טיעון ועתרו במשותף להטיל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שיכול וירוצו בדרך של עבודות שירות לצד קנס מוסכם ומאסר על תנאי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 xml:space="preserve">הנאשם כבן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עוד מעט</w:t>
      </w:r>
      <w:r>
        <w:rPr>
          <w:rtl w:val="true"/>
        </w:rPr>
        <w:t xml:space="preserve">, </w:t>
      </w:r>
      <w:r>
        <w:rPr>
          <w:rtl w:val="true"/>
        </w:rPr>
        <w:t xml:space="preserve">יש לו עבר הכולל הרשעה בודדת בעבירת איומים מלפני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 שנים</w:t>
      </w:r>
      <w:r>
        <w:rPr>
          <w:rtl w:val="true"/>
        </w:rPr>
        <w:t xml:space="preserve">. </w:t>
      </w:r>
      <w:r>
        <w:rPr>
          <w:rtl w:val="true"/>
        </w:rPr>
        <w:t>עברו אינו מכביד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>עבירות נשק הן חמורות</w:t>
      </w:r>
      <w:r>
        <w:rPr>
          <w:rtl w:val="true"/>
        </w:rPr>
        <w:t xml:space="preserve">. </w:t>
      </w:r>
      <w:r>
        <w:rPr>
          <w:rtl w:val="true"/>
        </w:rPr>
        <w:t>הפגיעה בערכים המוגנים ברורה</w:t>
      </w:r>
      <w:r>
        <w:rPr>
          <w:rtl w:val="true"/>
        </w:rPr>
        <w:t xml:space="preserve">, </w:t>
      </w:r>
      <w:r>
        <w:rPr>
          <w:rtl w:val="true"/>
        </w:rPr>
        <w:t>נשק עלול להתגלגל לידיים הלא נכונות וסופו של נשק שנמצא במקום מסוים</w:t>
      </w:r>
      <w:r>
        <w:rPr>
          <w:rtl w:val="true"/>
        </w:rPr>
        <w:t xml:space="preserve">, </w:t>
      </w:r>
      <w:r>
        <w:rPr>
          <w:rtl w:val="true"/>
        </w:rPr>
        <w:t>שגם ייעשה בו שימוש שאינו שימוש נכון ובוודאי שלא שימוש מורשה והתוצאות עלולות</w:t>
      </w:r>
      <w:r>
        <w:rPr>
          <w:rtl w:val="true"/>
        </w:rPr>
        <w:t xml:space="preserve">, </w:t>
      </w:r>
      <w:r>
        <w:rPr>
          <w:rtl w:val="true"/>
        </w:rPr>
        <w:t>כידוע לנו</w:t>
      </w:r>
      <w:r>
        <w:rPr>
          <w:rtl w:val="true"/>
        </w:rPr>
        <w:t xml:space="preserve">, </w:t>
      </w:r>
      <w:r>
        <w:rPr>
          <w:rtl w:val="true"/>
        </w:rPr>
        <w:t>להיות גם קטלניות</w:t>
      </w:r>
      <w:r>
        <w:rPr>
          <w:rtl w:val="true"/>
        </w:rPr>
        <w:t xml:space="preserve">. </w:t>
      </w:r>
      <w:r>
        <w:rPr>
          <w:rtl w:val="true"/>
        </w:rPr>
        <w:t>עבירה זו</w:t>
      </w:r>
      <w:r>
        <w:rPr>
          <w:rtl w:val="true"/>
        </w:rPr>
        <w:t xml:space="preserve">, </w:t>
      </w:r>
      <w:r>
        <w:rPr>
          <w:rtl w:val="true"/>
        </w:rPr>
        <w:t>שבה הורשע הנאשם</w:t>
      </w:r>
      <w:r>
        <w:rPr>
          <w:rtl w:val="true"/>
        </w:rPr>
        <w:t xml:space="preserve">, </w:t>
      </w:r>
      <w:r>
        <w:rPr>
          <w:rtl w:val="true"/>
        </w:rPr>
        <w:t>היא עבירה שמגלמת את פוטנציאל הסיכון בהחזקת הנשק ותחמושת</w:t>
      </w:r>
      <w:r>
        <w:rPr>
          <w:rtl w:val="true"/>
        </w:rPr>
        <w:t xml:space="preserve">, </w:t>
      </w:r>
      <w:r>
        <w:rPr>
          <w:rtl w:val="true"/>
        </w:rPr>
        <w:t>בדומה לעבירה של החזקת סכין ומכאן גם חומרתה ואין להקל בכך ראש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העונש עדין נמצא במתחם העונש ההולם שנהוג במחוזנו וגם אם הוא מקל עם הנאשם</w:t>
      </w:r>
      <w:r>
        <w:rPr>
          <w:rtl w:val="true"/>
        </w:rPr>
        <w:t xml:space="preserve">, </w:t>
      </w:r>
      <w:r>
        <w:rPr>
          <w:rtl w:val="true"/>
        </w:rPr>
        <w:t>הרי שהסטייה אינה כזו המחייבת התערבות בית המשפט בהסדר ולפיכך יש לאמצו</w:t>
      </w:r>
      <w:r>
        <w:rPr>
          <w:rtl w:val="true"/>
        </w:rPr>
        <w:t xml:space="preserve">. </w:t>
      </w:r>
      <w:r>
        <w:rPr>
          <w:rtl w:val="true"/>
        </w:rPr>
        <w:t>ההסדר אוזן מלכתחילה ע</w:t>
      </w:r>
      <w:r>
        <w:rPr>
          <w:rtl w:val="true"/>
        </w:rPr>
        <w:t>"</w:t>
      </w:r>
      <w:r>
        <w:rPr>
          <w:rtl w:val="true"/>
        </w:rPr>
        <w:t>י הצדדים בקנס משמעותי</w:t>
      </w:r>
      <w:r>
        <w:rPr>
          <w:rtl w:val="true"/>
        </w:rPr>
        <w:t xml:space="preserve">. </w:t>
      </w:r>
      <w:r>
        <w:rPr>
          <w:rtl w:val="true"/>
        </w:rPr>
        <w:t>אציין כי הנאשם נטל אחריות וחסך בזמן השיפוטי והמאשימה הצדיקה את ההסדר גם בקשיים ראייתיים מסוימים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>התקבלה חוות דעת חיובית של הממונה על עבודות השירות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6" w:leader="none"/>
        </w:tabs>
        <w:spacing w:lineRule="auto" w:line="360" w:before="120" w:after="0"/>
        <w:ind w:hanging="357" w:start="385" w:end="0"/>
        <w:jc w:val="both"/>
        <w:rPr/>
      </w:pP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אשר ירוצו בדרך של עבודות שירות במרכז קליטה </w:t>
      </w:r>
      <w:r>
        <w:rPr>
          <w:rtl w:val="true"/>
        </w:rPr>
        <w:t>"</w:t>
      </w:r>
      <w:r>
        <w:rPr>
          <w:rtl w:val="true"/>
        </w:rPr>
        <w:t>אורלי</w:t>
      </w:r>
      <w:r>
        <w:rPr>
          <w:rtl w:val="true"/>
        </w:rPr>
        <w:t xml:space="preserve">" </w:t>
      </w:r>
      <w:r>
        <w:rPr>
          <w:rtl w:val="true"/>
        </w:rPr>
        <w:t>בערד</w:t>
      </w:r>
      <w:r>
        <w:rPr>
          <w:rtl w:val="true"/>
        </w:rPr>
        <w:t xml:space="preserve">, </w:t>
      </w:r>
      <w:r>
        <w:rPr>
          <w:rtl w:val="true"/>
        </w:rPr>
        <w:t>במשך חמישה ימים 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 ביום או לפי קביעה אחרת של הממונה על עבודות השירות</w:t>
      </w:r>
      <w:r>
        <w:rPr>
          <w:rtl w:val="true"/>
        </w:rPr>
        <w:t>.</w:t>
      </w:r>
    </w:p>
    <w:p>
      <w:pPr>
        <w:pStyle w:val="Normal"/>
        <w:spacing w:lineRule="auto" w:line="360" w:before="60" w:after="0"/>
        <w:ind w:start="925" w:end="0"/>
        <w:jc w:val="both"/>
        <w:rPr/>
      </w:pPr>
      <w:r>
        <w:rPr>
          <w:rtl w:val="true"/>
        </w:rPr>
        <w:t xml:space="preserve">הנאשם יתייצב לריצוי עונשו ביום </w:t>
      </w:r>
      <w:r>
        <w:rPr/>
        <w:t>16.12.2015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 הממונה על עבודות השירות במפקדת מחוז דרום של שב</w:t>
      </w:r>
      <w:r>
        <w:rPr>
          <w:rtl w:val="true"/>
        </w:rPr>
        <w:t>"</w:t>
      </w:r>
      <w:r>
        <w:rPr>
          <w:rtl w:val="true"/>
        </w:rPr>
        <w:t>ס ליד כלא 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>.</w:t>
      </w:r>
    </w:p>
    <w:p>
      <w:pPr>
        <w:pStyle w:val="Normal"/>
        <w:spacing w:lineRule="auto" w:line="360" w:before="60" w:after="0"/>
        <w:ind w:start="925" w:end="0"/>
        <w:jc w:val="both"/>
        <w:rPr/>
      </w:pPr>
      <w:r>
        <w:rPr>
          <w:rtl w:val="true"/>
        </w:rPr>
        <w:t>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לתקופה של שלוש שנים מהיום שלא יעבור עבירה שעניינה החזקה או שימוש בנשק</w:t>
      </w:r>
      <w:r>
        <w:rPr>
          <w:rtl w:val="true"/>
        </w:rPr>
        <w:t xml:space="preserve">, </w:t>
      </w:r>
      <w:r>
        <w:rPr>
          <w:rtl w:val="true"/>
        </w:rPr>
        <w:t>או בתחמושת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926" w:leader="none"/>
        </w:tabs>
        <w:spacing w:lineRule="auto" w:line="360" w:before="60" w:after="0"/>
        <w:ind w:hanging="539" w:start="925" w:end="0"/>
        <w:jc w:val="both"/>
        <w:rPr/>
      </w:pPr>
      <w:r>
        <w:rPr>
          <w:rtl w:val="true"/>
        </w:rPr>
        <w:t xml:space="preserve">קנס כספי בסך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בדרך של קיזוז שיבוצע מתוך הפיקדון בתיק </w:t>
      </w:r>
      <w:hyperlink r:id="rId6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 xml:space="preserve">ת </w:t>
        </w:r>
        <w:r>
          <w:rPr>
            <w:rStyle w:val="Hyperlink"/>
            <w:color w:val="0000FF"/>
            <w:u w:val="single"/>
          </w:rPr>
          <w:t>10224-05-15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וזאת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60" w:after="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60" w:after="0"/>
        <w:ind w:end="0"/>
        <w:jc w:val="both"/>
        <w:rPr/>
      </w:pPr>
      <w:r>
        <w:rPr>
          <w:rtl w:val="true"/>
        </w:rPr>
        <w:t>לאחר קיזוז הקנס</w:t>
      </w:r>
      <w:r>
        <w:rPr>
          <w:rtl w:val="true"/>
        </w:rPr>
        <w:t xml:space="preserve">, </w:t>
      </w:r>
      <w:r>
        <w:rPr>
          <w:rtl w:val="true"/>
        </w:rPr>
        <w:t xml:space="preserve">ישוחרר מהפיקדון סך של </w:t>
      </w:r>
      <w:r>
        <w:rPr/>
        <w:t>3,000</w:t>
      </w:r>
      <w:r>
        <w:rPr>
          <w:rtl w:val="true"/>
        </w:rPr>
        <w:t xml:space="preserve"> ₪, </w:t>
      </w:r>
      <w:r>
        <w:rPr>
          <w:rtl w:val="true"/>
        </w:rPr>
        <w:t>לפי בקשת הנאשם</w:t>
      </w:r>
      <w:r>
        <w:rPr>
          <w:rtl w:val="true"/>
        </w:rPr>
        <w:t xml:space="preserve">, </w:t>
      </w:r>
      <w:r>
        <w:rPr>
          <w:rtl w:val="true"/>
        </w:rPr>
        <w:t xml:space="preserve">וזאת לידי בא כוחו </w:t>
      </w:r>
      <w:r>
        <w:rPr>
          <w:rtl w:val="true"/>
        </w:rPr>
        <w:t>(</w:t>
      </w:r>
      <w:r>
        <w:rPr>
          <w:rtl w:val="true"/>
        </w:rPr>
        <w:t>ככל שאין עיקולים על הסכומים</w:t>
      </w:r>
      <w:r>
        <w:rPr>
          <w:rtl w:val="true"/>
        </w:rPr>
        <w:t xml:space="preserve">). </w:t>
      </w:r>
      <w:r>
        <w:rPr>
          <w:rtl w:val="true"/>
        </w:rPr>
        <w:t>היתרה תושב לנאשם בסיום ריצוי עבודות השירות לאחר שתוגש בקשה בנפרד יחד עם אישור על סיום עבודות השירות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לבית המשפט המחוזי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rtl w:val="true"/>
        </w:rPr>
        <w:t>ניתנה והודעה היום 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18/10/2015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איתי ברסלר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גונן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 </w:t>
      </w:r>
      <w:r>
        <w:rPr>
          <w:rtl w:val="true"/>
        </w:rPr>
        <w:t>דבדה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איתי ברסלר גונן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10216-05-15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מחמד אבו עיאדה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840"/>
        </w:tabs>
        <w:ind w:start="840" w:hanging="72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716"/>
        </w:tabs>
        <w:ind w:start="716" w:hanging="69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0253316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2015-11-04T09:38:00Z</dcterms:created>
  <dc:creator> </dc:creator>
  <dc:description/>
  <cp:keywords/>
  <dc:language>en-IL</dc:language>
  <cp:lastModifiedBy>hofit</cp:lastModifiedBy>
  <dcterms:modified xsi:type="dcterms:W3CDTF">2015-11-04T09:38:00Z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אבו עיאדה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20253316</vt:lpwstr>
  </property>
  <property fmtid="{D5CDD505-2E9C-101B-9397-08002B2CF9AE}" pid="9" name="CITY">
    <vt:lpwstr>ב"ש</vt:lpwstr>
  </property>
  <property fmtid="{D5CDD505-2E9C-101B-9397-08002B2CF9AE}" pid="10" name="DATE">
    <vt:lpwstr>20151018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איתי ברסלר גונן</vt:lpwstr>
  </property>
  <property fmtid="{D5CDD505-2E9C-101B-9397-08002B2CF9AE}" pid="14" name="LAWLISTTMP1">
    <vt:lpwstr>70301/144.a</vt:lpwstr>
  </property>
  <property fmtid="{D5CDD505-2E9C-101B-9397-08002B2CF9AE}" pid="15" name="LAWYER">
    <vt:lpwstr>ירון סעדון;איל אביטל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10216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380020151018</vt:lpwstr>
  </property>
  <property fmtid="{D5CDD505-2E9C-101B-9397-08002B2CF9AE}" pid="34" name="TYPE_N_DATE">
    <vt:lpwstr>38020151018</vt:lpwstr>
  </property>
  <property fmtid="{D5CDD505-2E9C-101B-9397-08002B2CF9AE}" pid="35" name="VOLUME">
    <vt:lpwstr/>
  </property>
  <property fmtid="{D5CDD505-2E9C-101B-9397-08002B2CF9AE}" pid="36" name="WORDNUMPAGES">
    <vt:lpwstr>2</vt:lpwstr>
  </property>
</Properties>
</file>