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בנצרת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1023-04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הצפון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הייב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23/04</w:t>
            </w:r>
            <w:r>
              <w:rPr>
                <w:sz w:val="20"/>
                <w:szCs w:val="20"/>
                <w:rtl w:val="true"/>
              </w:rPr>
              <w:t xml:space="preserve">  </w:t>
            </w:r>
            <w:r>
              <w:rPr>
                <w:sz w:val="20"/>
                <w:sz w:val="20"/>
                <w:szCs w:val="20"/>
                <w:rtl w:val="true"/>
              </w:rPr>
              <w:t>פ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rFonts w:cs="Arial" w:ascii="Arial" w:hAnsi="Arial"/>
                <w:b/>
                <w:bCs/>
                <w:sz w:val="32"/>
                <w:szCs w:val="32"/>
                <w:lang w:val="en-US" w:eastAsia="en-US"/>
              </w:rPr>
              <w:t>11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בנימין ארבל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מבקשים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מנסור הייב 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משיבים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 מחוז הצפון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עיון בטיעוני בעלי הדין ובתעודת עובד הציבור שהוגשה מטעם רשות הרישוי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לפיה אמנם זכאי היה המבקש לקבל רשיון נהיגה על טרקטור אולם הרשיון מעולם לא נכנס לתוקף עקב אי תשלום האגרה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כי יש לראות את המבקש כמי שמעולם לא החזיק רשיון נהיגה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לנהוג ביחס למבקש בהתאם לכללים שהותוו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7431/10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ולקבוע כי מנין ימי עונש הפסילה לקבל או להחזיק רשיון נהיגה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ימנה ממועד מתן גזר הדין בתיק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דהיינו מיום </w:t>
      </w:r>
      <w:r>
        <w:rPr>
          <w:rFonts w:cs="Arial" w:ascii="Arial" w:hAnsi="Arial"/>
          <w:lang w:val="en-US" w:eastAsia="en-US"/>
        </w:rPr>
        <w:t>6/11/05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בנימין ארבל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 אב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אוגוסט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1023/04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1023-04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מנסור הייב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הצפון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2;&#1506;&#1508;%207431/10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2012-08-12T12:04:00Z</dcterms:created>
  <dc:creator> </dc:creator>
  <dc:description/>
  <cp:keywords/>
  <dc:language>en-IL</dc:language>
  <cp:lastModifiedBy>hofit</cp:lastModifiedBy>
  <dcterms:modified xsi:type="dcterms:W3CDTF">2012-08-12T12:04:00Z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מנסור הייב</vt:lpwstr>
  </property>
  <property fmtid="{D5CDD505-2E9C-101B-9397-08002B2CF9AE}" pid="3" name="APPELLEE">
    <vt:lpwstr>מ.י. פרקליטות מחוז הצפון-פלילי</vt:lpwstr>
  </property>
  <property fmtid="{D5CDD505-2E9C-101B-9397-08002B2CF9AE}" pid="4" name="CITY">
    <vt:lpwstr>נצ'</vt:lpwstr>
  </property>
  <property fmtid="{D5CDD505-2E9C-101B-9397-08002B2CF9AE}" pid="5" name="DATE">
    <vt:lpwstr>20120807</vt:lpwstr>
  </property>
  <property fmtid="{D5CDD505-2E9C-101B-9397-08002B2CF9AE}" pid="6" name="JUDGE">
    <vt:lpwstr>בנימין ארבל</vt:lpwstr>
  </property>
  <property fmtid="{D5CDD505-2E9C-101B-9397-08002B2CF9AE}" pid="7" name="NEWPARTA">
    <vt:lpwstr>1023</vt:lpwstr>
  </property>
  <property fmtid="{D5CDD505-2E9C-101B-9397-08002B2CF9AE}" pid="8" name="NEWPARTB">
    <vt:lpwstr/>
  </property>
  <property fmtid="{D5CDD505-2E9C-101B-9397-08002B2CF9AE}" pid="9" name="NEWPARTC">
    <vt:lpwstr>04</vt:lpwstr>
  </property>
  <property fmtid="{D5CDD505-2E9C-101B-9397-08002B2CF9AE}" pid="10" name="NEWPROC">
    <vt:lpwstr>תפ</vt:lpwstr>
  </property>
  <property fmtid="{D5CDD505-2E9C-101B-9397-08002B2CF9AE}" pid="11" name="PROCNUM">
    <vt:lpwstr>1023</vt:lpwstr>
  </property>
  <property fmtid="{D5CDD505-2E9C-101B-9397-08002B2CF9AE}" pid="12" name="PROCYEAR">
    <vt:lpwstr>04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390020120807</vt:lpwstr>
  </property>
  <property fmtid="{D5CDD505-2E9C-101B-9397-08002B2CF9AE}" pid="16" name="TYPE_N_DATE">
    <vt:lpwstr>39020120807</vt:lpwstr>
  </property>
  <property fmtid="{D5CDD505-2E9C-101B-9397-08002B2CF9AE}" pid="17" name="WORDNUMPAGES">
    <vt:lpwstr>1</vt:lpwstr>
  </property>
</Properties>
</file>