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10318-07-08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חמלניצקי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0"/>
      </w:tblGrid>
      <w:tr>
        <w:trPr>
          <w:trHeight w:val="337" w:hRule="atLeast"/>
        </w:trPr>
        <w:tc>
          <w:tcPr>
            <w:tcW w:w="87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אזולאי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נשיא</w:t>
            </w:r>
          </w:p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LastJudge"/>
      <w:bookmarkStart w:id="1" w:name="FirstAppellant"/>
      <w:bookmarkStart w:id="2" w:name="LastJudge"/>
      <w:bookmarkStart w:id="3" w:name="FirstAppellant"/>
      <w:bookmarkEnd w:id="2"/>
      <w:bookmarkEnd w:id="3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רוסטיסל חמלניצקי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אלעד מאיר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הופיע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עלאא עתאמנה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מטעם הסנגוריה הציבורית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הופיעה קצינת המבחן הגב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תגא משיח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הכרעת דין וגזר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#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/>
      </w:pPr>
      <w:bookmarkStart w:id="7" w:name="ABSTRACT_START"/>
      <w:bookmarkEnd w:id="7"/>
      <w:r>
        <w:rPr>
          <w:rtl w:val="true"/>
        </w:rPr>
        <w:t xml:space="preserve">הנאשם הודה בעובדות כתב האישום המתוקן בעבירה של </w:t>
      </w:r>
      <w:r>
        <w:rPr>
          <w:b/>
          <w:b/>
          <w:bCs/>
          <w:rtl w:val="true"/>
        </w:rPr>
        <w:t>החזקה ושימוש בסמים מסוכנים לצריכה עצמית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>)+(</w:t>
      </w:r>
      <w:hyperlink r:id="rId9"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10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  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פקודת הסמים</w:t>
      </w:r>
      <w:r>
        <w:rPr>
          <w:rtl w:val="true"/>
        </w:rPr>
        <w:t xml:space="preserve">"), </w:t>
      </w:r>
      <w:r>
        <w:rPr>
          <w:rtl w:val="true"/>
        </w:rPr>
        <w:t xml:space="preserve">עבירה של </w:t>
      </w:r>
      <w:r>
        <w:rPr>
          <w:b/>
          <w:b/>
          <w:bCs/>
          <w:rtl w:val="true"/>
        </w:rPr>
        <w:t>החזקת כלים להכנת סם לשימוש עצמי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סייפא לפקודת הסמים וכן עבירה של </w:t>
      </w:r>
      <w:r>
        <w:rPr>
          <w:b/>
          <w:b/>
          <w:bCs/>
          <w:rtl w:val="true"/>
        </w:rPr>
        <w:t>החזקת נשק שלא כדין</w:t>
      </w:r>
      <w:r>
        <w:rPr>
          <w:rtl w:val="true"/>
        </w:rPr>
        <w:t xml:space="preserve"> 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bookmarkStart w:id="8" w:name="ABSTRACT_END"/>
      <w:bookmarkEnd w:id="8"/>
      <w:r>
        <w:rPr>
          <w:rtl w:val="true"/>
        </w:rPr>
        <w:t>הנאשם הודה בארבעה אישומים של החזקה ושימוש בסם מסוכן מסוג חשיש</w:t>
      </w:r>
      <w:r>
        <w:rPr>
          <w:rtl w:val="true"/>
        </w:rPr>
        <w:t xml:space="preserve">, </w:t>
      </w:r>
      <w:r>
        <w:rPr>
          <w:rtl w:val="true"/>
        </w:rPr>
        <w:t xml:space="preserve">כמו כן החזיק הנאשם ברשותו כלי לעישון סמים מסוג </w:t>
      </w:r>
      <w:r>
        <w:rPr>
          <w:rtl w:val="true"/>
        </w:rPr>
        <w:t>"</w:t>
      </w:r>
      <w:r>
        <w:rPr>
          <w:rtl w:val="true"/>
        </w:rPr>
        <w:t>בנג</w:t>
      </w:r>
      <w:r>
        <w:rPr>
          <w:rtl w:val="true"/>
        </w:rPr>
        <w:t xml:space="preserve">" </w:t>
      </w:r>
      <w:r>
        <w:rPr>
          <w:rtl w:val="true"/>
        </w:rPr>
        <w:t>ועשרה כדורי רובה מסוגים שונים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תסקיר שירות 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מתסקיר שירות המבחן עולה כי הנאשם רווק כבן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יליד אוקראינה</w:t>
      </w:r>
      <w:r>
        <w:rPr>
          <w:rtl w:val="true"/>
        </w:rPr>
        <w:t xml:space="preserve">, </w:t>
      </w:r>
      <w:r>
        <w:rPr>
          <w:rtl w:val="true"/>
        </w:rPr>
        <w:t xml:space="preserve">עובד במפעל </w:t>
      </w:r>
      <w:r>
        <w:rPr>
          <w:rtl w:val="true"/>
        </w:rPr>
        <w:t>"</w:t>
      </w:r>
      <w:r>
        <w:rPr>
          <w:rtl w:val="true"/>
        </w:rPr>
        <w:t>פלקסטרוניקס</w:t>
      </w:r>
      <w:r>
        <w:rPr>
          <w:rtl w:val="true"/>
        </w:rPr>
        <w:t xml:space="preserve">" </w:t>
      </w:r>
      <w:r>
        <w:rPr>
          <w:rtl w:val="true"/>
        </w:rPr>
        <w:t>כעובד ייצור</w:t>
      </w:r>
      <w:r>
        <w:rPr>
          <w:rtl w:val="true"/>
        </w:rPr>
        <w:t xml:space="preserve">. </w:t>
      </w:r>
      <w:r>
        <w:rPr>
          <w:rtl w:val="true"/>
        </w:rPr>
        <w:t>הנאשם הודה בשימוש והחזקת סמים והביע צער על הסתבכותו בפלילים</w:t>
      </w:r>
      <w:r>
        <w:rPr>
          <w:rtl w:val="true"/>
        </w:rPr>
        <w:t xml:space="preserve">. </w:t>
      </w:r>
      <w:r>
        <w:rPr>
          <w:rtl w:val="true"/>
        </w:rPr>
        <w:t>הנאשם הופנה ליחידה לטיפול בהתמכרויות במגדל העמק ונתבקשה דחייה</w:t>
      </w:r>
      <w:r>
        <w:rPr>
          <w:rtl w:val="true"/>
        </w:rPr>
        <w:t xml:space="preserve">. </w:t>
      </w:r>
      <w:r>
        <w:rPr>
          <w:rtl w:val="true"/>
        </w:rPr>
        <w:t>עם תום תקופת הדחייה הוגש תסקיר משלים ממנו עולה כי הנאשם התמיד בהליך הטיפולי ומסר בדיקות שתן נקיות משרידי סם</w:t>
      </w:r>
      <w:r>
        <w:rPr>
          <w:rtl w:val="true"/>
        </w:rPr>
        <w:t xml:space="preserve">. </w:t>
      </w:r>
      <w:r>
        <w:rPr>
          <w:rtl w:val="true"/>
        </w:rPr>
        <w:t>הנאשם הופנה למרכז יום לטיפול בנפגעי סמים בחיפה ונתבקשה דחייה נוספת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מהתסקיר האחרון שהוגש עולה כי הנאשם מחויב למסגרת הטיפולית</w:t>
      </w:r>
      <w:r>
        <w:rPr>
          <w:rtl w:val="true"/>
        </w:rPr>
        <w:t xml:space="preserve">, </w:t>
      </w:r>
      <w:r>
        <w:rPr>
          <w:rtl w:val="true"/>
        </w:rPr>
        <w:t>מגיע בקביעות ובדייקנות למפגשים וממשיך למסור בדיקות שתן נקיות משרידי סם</w:t>
      </w:r>
      <w:r>
        <w:rPr>
          <w:rtl w:val="true"/>
        </w:rPr>
        <w:t xml:space="preserve">. </w:t>
      </w:r>
      <w:r>
        <w:rPr>
          <w:rtl w:val="true"/>
        </w:rPr>
        <w:t>קצינת המבחן התרשמה כי מדובר בצעיר</w:t>
      </w:r>
      <w:r>
        <w:rPr>
          <w:rtl w:val="true"/>
        </w:rPr>
        <w:t xml:space="preserve">, </w:t>
      </w:r>
      <w:r>
        <w:rPr>
          <w:rtl w:val="true"/>
        </w:rPr>
        <w:t>המכיר בבעיית ההתמכרות</w:t>
      </w:r>
      <w:r>
        <w:rPr>
          <w:rtl w:val="true"/>
        </w:rPr>
        <w:t xml:space="preserve">, </w:t>
      </w:r>
      <w:r>
        <w:rPr>
          <w:rtl w:val="true"/>
        </w:rPr>
        <w:t>בעל מוטיבציה גבוהה לערוך שינוי בדפוסי העבר</w:t>
      </w:r>
      <w:r>
        <w:rPr>
          <w:rtl w:val="true"/>
        </w:rPr>
        <w:t xml:space="preserve">, </w:t>
      </w:r>
      <w:r>
        <w:rPr>
          <w:rtl w:val="true"/>
        </w:rPr>
        <w:t>תוך שיתוף פעולה עם שירות המבחן והיחידה לטיפול בהתמכרויות</w:t>
      </w:r>
      <w:r>
        <w:rPr>
          <w:rtl w:val="true"/>
        </w:rPr>
        <w:t xml:space="preserve">. </w:t>
      </w:r>
      <w:r>
        <w:rPr>
          <w:rtl w:val="true"/>
        </w:rPr>
        <w:t>הנאשם שומר על יציבות תעסוקתית</w:t>
      </w:r>
      <w:r>
        <w:rPr>
          <w:rtl w:val="true"/>
        </w:rPr>
        <w:t xml:space="preserve">, </w:t>
      </w:r>
      <w:r>
        <w:rPr>
          <w:rtl w:val="true"/>
        </w:rPr>
        <w:t>על כן הומלץ להעדיף ענישה שיקומית בדמות צו מבחן לשנה וזאת מבלי להרשיעו 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טיעונים 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/>
      </w:pPr>
      <w:bookmarkStart w:id="9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9"/>
      <w:r>
        <w:rPr>
          <w:rtl w:val="true"/>
        </w:rPr>
        <w:t xml:space="preserve"> התביעה בקשה להרשיע את הנאשם בעובדות כתב האישום ולהטיל עליו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>אמנם אין לנאשם עבר פלילי</w:t>
      </w:r>
      <w:r>
        <w:rPr>
          <w:rtl w:val="true"/>
        </w:rPr>
        <w:t xml:space="preserve">, </w:t>
      </w:r>
      <w:r>
        <w:rPr>
          <w:rtl w:val="true"/>
        </w:rPr>
        <w:t>אולם מדובר בעבירות חמורות</w:t>
      </w:r>
      <w:r>
        <w:rPr>
          <w:rtl w:val="true"/>
        </w:rPr>
        <w:t xml:space="preserve">, </w:t>
      </w:r>
      <w:r>
        <w:rPr>
          <w:rtl w:val="true"/>
        </w:rPr>
        <w:t>בהן האינטרס הציבורי מצדיק החמרה בענישה</w:t>
      </w:r>
      <w:r>
        <w:rPr>
          <w:rtl w:val="true"/>
        </w:rPr>
        <w:t xml:space="preserve">, </w:t>
      </w:r>
      <w:r>
        <w:rPr>
          <w:rtl w:val="true"/>
        </w:rPr>
        <w:t>גם לצורך הרתעת הרבים</w:t>
      </w:r>
      <w:r>
        <w:rPr>
          <w:rtl w:val="true"/>
        </w:rPr>
        <w:t xml:space="preserve">, </w:t>
      </w:r>
      <w:r>
        <w:rPr>
          <w:rtl w:val="true"/>
        </w:rPr>
        <w:t>ולא נתקיימו התנאים המצדיקים הימנעות מהרשעה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highlight w:val="yellow"/>
        </w:rPr>
      </w:pPr>
      <w:r>
        <w:rPr>
          <w:rtl w:val="true"/>
        </w:rPr>
        <w:t xml:space="preserve">הסנגור ביקש שלא להרשיע את הנאשם שעלה לארץ בשנת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סבל מקשיי התאקלמות ונסיבות חיו מפורטות בתסקיר שירות המבחן</w:t>
      </w:r>
      <w:r>
        <w:rPr>
          <w:rtl w:val="true"/>
        </w:rPr>
        <w:t xml:space="preserve">, </w:t>
      </w:r>
      <w:r>
        <w:rPr>
          <w:rtl w:val="true"/>
        </w:rPr>
        <w:t>ממנו ניתן ללמוד כי הנאשם הודה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שיתף פעולה עם גורמי הטיפול ובדיקות השתן שמסר היו נקיות מסמים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חל שינוי בדפוסי התנהגותו של הנאשם על כן ביקש שלא למצות עמו את הדין ולא להרשיעו</w:t>
      </w:r>
      <w:r>
        <w:rPr>
          <w:rtl w:val="true"/>
        </w:rPr>
        <w:t xml:space="preserve">. </w:t>
      </w:r>
      <w:r>
        <w:rPr>
          <w:rtl w:val="true"/>
        </w:rPr>
        <w:t>הנאשם עובד במפעל אלקטרוניקה במגדל העמק והרשעתו עלולה לפגוע במקור פרנסתו</w:t>
      </w:r>
      <w:r>
        <w:rPr>
          <w:rtl w:val="true"/>
        </w:rPr>
        <w:t xml:space="preserve">, </w:t>
      </w:r>
      <w:r>
        <w:rPr>
          <w:rtl w:val="true"/>
        </w:rPr>
        <w:t>שכן מדי שנה הוא נדרש להציג רישום פלילי כתנאי להעסקתו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 w:before="120" w:after="0"/>
        <w:ind w:hanging="0" w:start="0" w:end="0"/>
        <w:jc w:val="both"/>
        <w:outlineLvl w:val="0"/>
        <w:rPr>
          <w:b/>
        </w:rPr>
      </w:pPr>
      <w:r>
        <w:rPr>
          <w:b/>
          <w:b/>
          <w:bCs/>
          <w:rtl w:val="true"/>
        </w:rPr>
        <w:t>ההרשעה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בסיום ההליך הפלילי</w:t>
      </w:r>
      <w:r>
        <w:rPr>
          <w:rtl w:val="true"/>
        </w:rPr>
        <w:t xml:space="preserve">, </w:t>
      </w:r>
      <w:r>
        <w:rPr>
          <w:rtl w:val="true"/>
        </w:rPr>
        <w:t>ולאחר שהוכחה אשמתו</w:t>
      </w:r>
      <w:r>
        <w:rPr>
          <w:rtl w:val="true"/>
        </w:rPr>
        <w:t xml:space="preserve">, </w:t>
      </w:r>
      <w:r>
        <w:rPr>
          <w:rtl w:val="true"/>
        </w:rPr>
        <w:t>הכלל הוא הרשעת הנאשם</w:t>
      </w:r>
      <w:r>
        <w:rPr>
          <w:rtl w:val="true"/>
        </w:rPr>
        <w:t xml:space="preserve">, </w:t>
      </w:r>
      <w:r>
        <w:rPr>
          <w:rtl w:val="true"/>
        </w:rPr>
        <w:t>ורק נסיבות חריגות ויוצאות דופן מצדיקות הימנעות ממנה</w:t>
      </w:r>
      <w:r>
        <w:rPr>
          <w:rtl w:val="true"/>
        </w:rPr>
        <w:t xml:space="preserve">. </w:t>
      </w:r>
      <w:r>
        <w:rPr>
          <w:rtl w:val="true"/>
        </w:rPr>
        <w:t>המבחנים להימנעות מהרשעה נקבעו  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2083/96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תמר כתב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337</w:t>
      </w:r>
      <w:r>
        <w:rPr>
          <w:rtl w:val="true"/>
        </w:rPr>
        <w:t xml:space="preserve">: </w:t>
      </w:r>
    </w:p>
    <w:p>
      <w:pPr>
        <w:pStyle w:val="BodyText2"/>
        <w:spacing w:before="120" w:after="0"/>
        <w:ind w:start="566" w:end="90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הימנעות מהרשעה אפשרית אפוא בהצטבר שני גורמים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ההרשעה לפגוע פגיעה חמורה בשיקום הנאשם</w:t>
      </w:r>
      <w:r>
        <w:rPr>
          <w:b/>
          <w:bCs/>
          <w:rtl w:val="true"/>
        </w:rPr>
        <w:t xml:space="preserve">;  </w:t>
      </w:r>
      <w:r>
        <w:rPr>
          <w:b/>
          <w:b/>
          <w:bCs/>
          <w:rtl w:val="true"/>
        </w:rPr>
        <w:t>ושנית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סוג העבירה מאפשר לוותר בנסיבות המקרה המסוים על ההרשעה מבלי לפגוע באופן מהותי בשיקולי הענישה האחרים המפורטים לעיל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highlight w:val="yellow"/>
        </w:rPr>
      </w:pPr>
      <w:r>
        <w:rPr>
          <w:b/>
          <w:bCs/>
          <w:highlight w:val="yellow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הימנעות מהרשעה מקומה בנסיבות יוצאות דופן </w:t>
      </w:r>
      <w:r>
        <w:rPr>
          <w:rtl w:val="true"/>
        </w:rPr>
        <w:t>"</w:t>
      </w:r>
      <w:r>
        <w:rPr>
          <w:b/>
          <w:b/>
          <w:bCs/>
          <w:rtl w:val="true"/>
        </w:rPr>
        <w:t>רק שעה שהנזק בעקבות ההרשעה גדול באופן בלתי סביר ביחס לחומרת העבירה</w:t>
      </w:r>
      <w:r>
        <w:rPr>
          <w:rtl w:val="true"/>
        </w:rPr>
        <w:t>"</w:t>
      </w:r>
      <w:r>
        <w:rPr>
          <w:b/>
          <w:bCs/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 xml:space="preserve">ראה </w:t>
      </w:r>
      <w:hyperlink r:id="rId15">
        <w:r>
          <w:rPr>
            <w:rStyle w:val="Hyperlink"/>
            <w:rtl w:val="true"/>
          </w:rPr>
          <w:t>ר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ע </w:t>
        </w:r>
        <w:r>
          <w:rPr>
            <w:rStyle w:val="Hyperlink"/>
          </w:rPr>
          <w:t>432/85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גדעון רומנו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 פורסם</w:t>
      </w:r>
      <w:r>
        <w:rPr>
          <w:rtl w:val="true"/>
        </w:rPr>
        <w:t>)).</w:t>
      </w:r>
    </w:p>
    <w:p>
      <w:pPr>
        <w:pStyle w:val="Normal"/>
        <w:spacing w:lineRule="auto" w:line="360" w:before="120" w:after="0"/>
        <w:ind w:start="26" w:end="0"/>
        <w:jc w:val="both"/>
        <w:rPr>
          <w:b/>
        </w:rPr>
      </w:pPr>
      <w:r>
        <w:rPr>
          <w:b/>
          <w:b/>
          <w:rtl w:val="true"/>
        </w:rPr>
        <w:t>אין המדובר ברשימת מקרים סגורה וכל מקרה ייבחן על פי נסיבותיו הוא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תוך שקילת גורמים שונים כגון</w:t>
      </w:r>
      <w:r>
        <w:rPr>
          <w:b/>
          <w:rtl w:val="true"/>
        </w:rPr>
        <w:t xml:space="preserve">: </w:t>
      </w:r>
      <w:r>
        <w:rPr>
          <w:b/>
          <w:b/>
          <w:rtl w:val="true"/>
        </w:rPr>
        <w:t>אופיו של 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עברו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ונסיבות ביצוע העבירה</w:t>
      </w:r>
      <w:r>
        <w:rPr>
          <w:b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 w:before="120" w:after="0"/>
        <w:ind w:hanging="0" w:start="26" w:end="0"/>
        <w:jc w:val="both"/>
        <w:outlineLvl w:val="0"/>
        <w:rPr>
          <w:b/>
        </w:rPr>
      </w:pPr>
      <w:r>
        <w:rPr>
          <w:b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 w:before="120" w:after="0"/>
        <w:ind w:hanging="0" w:start="26" w:end="0"/>
        <w:jc w:val="both"/>
        <w:outlineLvl w:val="0"/>
        <w:rPr>
          <w:bCs/>
        </w:rPr>
      </w:pPr>
      <w:r>
        <w:rPr>
          <w:bCs/>
          <w:rtl w:val="true"/>
        </w:rPr>
        <w:t>מן הכלל אל הפרט</w:t>
      </w:r>
      <w:r>
        <w:rPr>
          <w:bCs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לאחר ששמעתי טיעוני הצדדים ועיינתי בתסקיר שירות המבחן</w:t>
      </w:r>
      <w:r>
        <w:rPr>
          <w:rtl w:val="true"/>
        </w:rPr>
        <w:t xml:space="preserve">, </w:t>
      </w:r>
      <w:r>
        <w:rPr>
          <w:rtl w:val="true"/>
        </w:rPr>
        <w:t>הגעתי לכלל מסקנה</w:t>
      </w:r>
      <w:r>
        <w:rPr>
          <w:rtl w:val="true"/>
        </w:rPr>
        <w:t xml:space="preserve">, </w:t>
      </w:r>
      <w:r>
        <w:rPr>
          <w:rtl w:val="true"/>
        </w:rPr>
        <w:t>שבמקרה זה גובר האינטרס הציבורי והצורך בהרתעה על הנזק אשר לא הוכח</w:t>
      </w:r>
      <w:r>
        <w:rPr>
          <w:rtl w:val="true"/>
        </w:rPr>
        <w:t xml:space="preserve">, </w:t>
      </w:r>
      <w:r>
        <w:rPr>
          <w:rtl w:val="true"/>
        </w:rPr>
        <w:t>ועל כן אין מקרה זה נמנה עם אותם החריגים המצדיקים הימנעות מהרשעה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אמנם שירות המבחן המליץ שלא להרשיע את הנאשם בדין</w:t>
      </w:r>
      <w:r>
        <w:rPr>
          <w:rtl w:val="true"/>
        </w:rPr>
        <w:t xml:space="preserve">, </w:t>
      </w:r>
      <w:r>
        <w:rPr>
          <w:rtl w:val="true"/>
        </w:rPr>
        <w:t>אולם המלצתו של שירות המבחן הינה לעולם בגדר המלצה</w:t>
      </w:r>
      <w:r>
        <w:rPr>
          <w:rtl w:val="true"/>
        </w:rPr>
        <w:t xml:space="preserve">, </w:t>
      </w:r>
      <w:r>
        <w:rPr>
          <w:rtl w:val="true"/>
        </w:rPr>
        <w:t>כאשר שירות המבחן רואה לנגד עיניו את האינטרס הטמון בשיקומו של הנאשם</w:t>
      </w:r>
      <w:r>
        <w:rPr>
          <w:rtl w:val="true"/>
        </w:rPr>
        <w:t xml:space="preserve">, </w:t>
      </w:r>
      <w:r>
        <w:rPr>
          <w:rtl w:val="true"/>
        </w:rPr>
        <w:t>ובית המשפט לבדו הוא האמון על האיזון הנכון</w:t>
      </w:r>
      <w:r>
        <w:rPr>
          <w:rtl w:val="true"/>
        </w:rPr>
        <w:t xml:space="preserve">, </w:t>
      </w:r>
      <w:r>
        <w:rPr>
          <w:rtl w:val="true"/>
        </w:rPr>
        <w:t>בין הפן ההרתעתי והאינטרס הציבורי</w:t>
      </w:r>
      <w:r>
        <w:rPr>
          <w:rtl w:val="true"/>
        </w:rPr>
        <w:t xml:space="preserve">, </w:t>
      </w:r>
      <w:r>
        <w:rPr>
          <w:rtl w:val="true"/>
        </w:rPr>
        <w:t>ונסיבותיו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הפן השיקומי</w:t>
      </w:r>
      <w:r>
        <w:rPr>
          <w:rtl w:val="true"/>
        </w:rPr>
        <w:t xml:space="preserve">. </w:t>
      </w:r>
      <w:r>
        <w:rPr>
          <w:sz w:val="22"/>
          <w:sz w:val="22"/>
          <w:rtl w:val="true"/>
        </w:rPr>
        <w:t>ראה לעניין זה דבריה של 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השופטת 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חיות ב</w:t>
      </w:r>
      <w:hyperlink r:id="rId16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 xml:space="preserve">פ </w:t>
        </w:r>
        <w:r>
          <w:rPr>
            <w:rStyle w:val="Hyperlink"/>
            <w:sz w:val="22"/>
          </w:rPr>
          <w:t>8315/07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יוחנן מזרחי 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 ישראל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טרם פורסם</w:t>
      </w:r>
      <w:r>
        <w:rPr>
          <w:sz w:val="22"/>
          <w:rtl w:val="true"/>
        </w:rPr>
        <w:t>):</w:t>
      </w:r>
    </w:p>
    <w:p>
      <w:pPr>
        <w:pStyle w:val="BodyText2"/>
        <w:spacing w:before="120" w:after="0"/>
        <w:ind w:start="566" w:end="90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העובדה כי שירות המבחן המליץ להימנע מהרשעה במקרה הנדון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 xml:space="preserve">יש לה אמנם משקל אך אין היא מכריעה את הכף ואין בית המשפט מחוייב לקבלה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ראו </w:t>
      </w:r>
      <w:hyperlink r:id="rId17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2112/07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פורטגנג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 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18.4.2007</w:t>
      </w:r>
      <w:r>
        <w:rPr>
          <w:b/>
          <w:bCs/>
          <w:rtl w:val="true"/>
        </w:rPr>
        <w:t>))".</w:t>
      </w:r>
    </w:p>
    <w:p>
      <w:pPr>
        <w:pStyle w:val="Normal"/>
        <w:spacing w:lineRule="auto" w:line="360" w:before="120" w:after="0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120" w:after="0"/>
        <w:ind w:start="26" w:end="0"/>
        <w:jc w:val="both"/>
        <w:rPr/>
      </w:pP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מדובר בעבירות חמורות של שימוש ואחזקה של סמים ועבירות נלוות</w:t>
      </w:r>
      <w:r>
        <w:rPr>
          <w:rtl w:val="true"/>
        </w:rPr>
        <w:t xml:space="preserve">, </w:t>
      </w:r>
      <w:r>
        <w:rPr>
          <w:rtl w:val="true"/>
        </w:rPr>
        <w:t>אשר אינן מאפשרות בדרך כלל סטייה מהכלל האמור</w:t>
      </w:r>
      <w:r>
        <w:rPr>
          <w:rtl w:val="true"/>
        </w:rPr>
        <w:t xml:space="preserve">. </w:t>
      </w:r>
      <w:r>
        <w:rPr>
          <w:rtl w:val="true"/>
        </w:rPr>
        <w:t>בהתחשב באמות המידה שנקבעו בפסיקה</w:t>
      </w:r>
      <w:r>
        <w:rPr>
          <w:rtl w:val="true"/>
        </w:rPr>
        <w:t xml:space="preserve">, </w:t>
      </w:r>
      <w:r>
        <w:rPr>
          <w:rtl w:val="true"/>
        </w:rPr>
        <w:t xml:space="preserve">לא שוכנעתי כי מתקיימות בפרשה שלפנינו </w:t>
      </w:r>
      <w:r>
        <w:rPr>
          <w:rtl w:val="true"/>
        </w:rPr>
        <w:t>"</w:t>
      </w:r>
      <w:r>
        <w:rPr>
          <w:b/>
          <w:b/>
          <w:bCs/>
          <w:rtl w:val="true"/>
        </w:rPr>
        <w:t>נסיבות מיוחדות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חריגות ויוצאות דופן ביותר</w:t>
      </w:r>
      <w:r>
        <w:rPr>
          <w:rtl w:val="true"/>
        </w:rPr>
        <w:t xml:space="preserve">" </w:t>
      </w:r>
      <w:r>
        <w:rPr>
          <w:rtl w:val="true"/>
        </w:rPr>
        <w:t>המצדיקות סטייה מן הכלל שלפיו מי שהובא לדין ונמצא אשם</w:t>
      </w:r>
      <w:r>
        <w:rPr>
          <w:rtl w:val="true"/>
        </w:rPr>
        <w:t xml:space="preserve">, </w:t>
      </w:r>
      <w:r>
        <w:rPr>
          <w:rtl w:val="true"/>
        </w:rPr>
        <w:t>יורשע בעבירות שיוחסו לו</w:t>
      </w:r>
      <w:r>
        <w:rPr>
          <w:rtl w:val="true"/>
        </w:rPr>
        <w:t xml:space="preserve">. </w:t>
      </w:r>
      <w:r>
        <w:rPr>
          <w:rtl w:val="true"/>
        </w:rPr>
        <w:t>מכל מקום לא הוכח נזק קונקרטי שייגרם לנאשם באם יורשע ואף לא מצאתי כי מתקיים כאן יחס בלתי סביר בין הנזק הצפוי לנאשם</w:t>
      </w:r>
      <w:r>
        <w:rPr>
          <w:rtl w:val="true"/>
        </w:rPr>
        <w:t xml:space="preserve">, </w:t>
      </w:r>
      <w:r>
        <w:rPr>
          <w:rtl w:val="true"/>
        </w:rPr>
        <w:t>אשר לא הוכח אלא רק נטען בעלמא</w:t>
      </w:r>
      <w:r>
        <w:rPr>
          <w:rtl w:val="true"/>
        </w:rPr>
        <w:t xml:space="preserve">, </w:t>
      </w:r>
      <w:r>
        <w:rPr>
          <w:rtl w:val="true"/>
        </w:rPr>
        <w:t>לבין חומרת העבירות שעבר</w:t>
      </w:r>
      <w:r>
        <w:rPr>
          <w:rtl w:val="true"/>
        </w:rPr>
        <w:t xml:space="preserve">, </w:t>
      </w:r>
      <w:r>
        <w:rPr>
          <w:rtl w:val="true"/>
        </w:rPr>
        <w:t>על כן מסקנתי היא כי אין מקום להימנע מהרשעתו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לאור האמור לעיל החלטתי להרשיע את הנאשם בעבירות המיוחסות לו בכתב האישום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120" w:after="0"/>
        <w:ind w:end="0"/>
        <w:jc w:val="center"/>
        <w:rPr>
          <w:b/>
          <w:bCs/>
          <w:u w:val="single"/>
        </w:rPr>
      </w:pPr>
      <w:bookmarkStart w:id="10" w:name="PsakDin"/>
      <w:bookmarkEnd w:id="10"/>
      <w:r>
        <w:rPr>
          <w:b/>
          <w:b/>
          <w:bCs/>
          <w:u w:val="single"/>
          <w:rtl w:val="true"/>
        </w:rPr>
        <w:t>גזר 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/>
      </w:pPr>
      <w:bookmarkStart w:id="11" w:name="PsakDin"/>
      <w:bookmarkEnd w:id="11"/>
      <w:r>
        <w:rPr>
          <w:rtl w:val="true"/>
        </w:rPr>
        <w:t>הנאשם הודה במספר עבירות של החזקה ושימוש בסם מסוכן מסוג חשיש</w:t>
      </w:r>
      <w:r>
        <w:rPr>
          <w:rtl w:val="true"/>
        </w:rPr>
        <w:t xml:space="preserve">, </w:t>
      </w:r>
      <w:r>
        <w:rPr>
          <w:rtl w:val="true"/>
        </w:rPr>
        <w:t>החזקת כלי לעישון וכדורי רובה</w:t>
      </w:r>
      <w:r>
        <w:rPr>
          <w:rtl w:val="true"/>
        </w:rPr>
        <w:t xml:space="preserve">. </w:t>
      </w:r>
      <w:r>
        <w:rPr>
          <w:rtl w:val="true"/>
        </w:rPr>
        <w:t>איני מקל ראש עם העבירות אותן ביצע הנאשם</w:t>
      </w:r>
      <w:r>
        <w:rPr>
          <w:rtl w:val="true"/>
        </w:rPr>
        <w:t xml:space="preserve">,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יש לאזן תמיד את האינטרס הכללי עם נסיבות המקרה ונסיבותיו האישיות של כל נאשם באשר הוא</w:t>
      </w:r>
      <w:r>
        <w:rPr>
          <w:rtl w:val="true"/>
        </w:rPr>
        <w:t xml:space="preserve">. </w:t>
      </w:r>
      <w:r>
        <w:rPr>
          <w:rtl w:val="true"/>
        </w:rPr>
        <w:t>נראה כי המדובר בצעיר שאינו מעורב בפלילים בדרך כלל</w:t>
      </w:r>
      <w:r>
        <w:rPr>
          <w:rtl w:val="true"/>
        </w:rPr>
        <w:t xml:space="preserve">, </w:t>
      </w:r>
      <w:r>
        <w:rPr>
          <w:rtl w:val="true"/>
        </w:rPr>
        <w:t>הנמצא בעיצומו של תהליך טיפולי ממושך ואף בדיקות שתן שמסר בקביעות לא נמצאו שרידי סם</w:t>
      </w:r>
      <w:r>
        <w:rPr>
          <w:rtl w:val="true"/>
        </w:rPr>
        <w:t xml:space="preserve">, </w:t>
      </w:r>
      <w:r>
        <w:rPr>
          <w:rtl w:val="true"/>
        </w:rPr>
        <w:t>על כן אמנע מהטלת העונש הראוי לעבירה מסוג 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לאחר ששמעתי טיעוני הצדדים ובחנתי כמתבקש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הנאשם כפי המפורט בתסקיר שירות המבחן</w:t>
      </w:r>
      <w:r>
        <w:rPr>
          <w:rtl w:val="true"/>
        </w:rPr>
        <w:t xml:space="preserve">, </w:t>
      </w:r>
      <w:r>
        <w:rPr>
          <w:rtl w:val="true"/>
        </w:rPr>
        <w:t>שקלתי לקולא עובדת היותו צעיר המנהל אורח חיים נורמטיבי העובד לפרנסתו בקביעות ולא נרשמו לחובתו עבירות נוספות מאז ביצוע העבירה</w:t>
      </w:r>
      <w:r>
        <w:rPr>
          <w:rtl w:val="true"/>
        </w:rPr>
        <w:t xml:space="preserve">, </w:t>
      </w:r>
      <w:r>
        <w:rPr>
          <w:rtl w:val="true"/>
        </w:rPr>
        <w:t>אני מטיל על הנאשם עונש כדלהלן</w:t>
      </w:r>
      <w:r>
        <w:rPr>
          <w:rtl w:val="true"/>
        </w:rPr>
        <w:t>: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0"/>
        </w:rPr>
      </w:pPr>
      <w:r>
        <w:rPr>
          <w:b/>
          <w:b/>
          <w:bCs/>
          <w:rtl w:val="true"/>
        </w:rPr>
        <w:t>אני מחייב את הנאשם לעמוד בפיקוח שירות המבחן למשך שנה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מובהר לנאשם כי ענינו יוחזר בפניי באם יפר תנאי מתנאי 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הסם להשמדה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0"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 בבית משפט מחוזי בנצרת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  <w:highlight w:val="yellow"/>
        </w:rPr>
      </w:pPr>
      <w:r>
        <w:rPr>
          <w:b/>
          <w:bCs/>
          <w:sz w:val="6"/>
          <w:szCs w:val="6"/>
          <w:highlight w:val="yellow"/>
          <w:rtl w:val="true"/>
        </w:rPr>
        <w:t>&lt;</w:t>
      </w:r>
      <w:r>
        <w:rPr>
          <w:b/>
          <w:bCs/>
          <w:sz w:val="6"/>
          <w:szCs w:val="6"/>
          <w:highlight w:val="yellow"/>
        </w:rPr>
        <w:t>#10#</w:t>
      </w:r>
      <w:r>
        <w:rPr>
          <w:b/>
          <w:bCs/>
          <w:sz w:val="6"/>
          <w:szCs w:val="6"/>
          <w:highlight w:val="yellow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  <w:highlight w:val="yellow"/>
        </w:rPr>
      </w:pPr>
      <w:r>
        <w:rPr>
          <w:b/>
          <w:bCs/>
          <w:sz w:val="6"/>
          <w:szCs w:val="6"/>
          <w:highlight w:val="yellow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14/04/2010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לפני 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אזולאי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מרטין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פרץ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/Users/liorb/Downloads/study2025-p2/SH-08-07-10318-190.doc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10318-07-08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רוסטיסל חמלניצקי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0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10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810781" TargetMode="External"/><Relationship Id="rId15" Type="http://schemas.openxmlformats.org/officeDocument/2006/relationships/hyperlink" Target="http://www.nevo.co.il/case/17943750" TargetMode="External"/><Relationship Id="rId16" Type="http://schemas.openxmlformats.org/officeDocument/2006/relationships/hyperlink" Target="http://www.nevo.co.il/case/6125987" TargetMode="External"/><Relationship Id="rId17" Type="http://schemas.openxmlformats.org/officeDocument/2006/relationships/hyperlink" Target="http://www.nevo.co.il/case/581173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2016-07-04T13:14:00Z</dcterms:created>
  <dc:creator> </dc:creator>
  <dc:description/>
  <cp:keywords/>
  <dc:language>en-IL</dc:language>
  <cp:lastModifiedBy>hofit</cp:lastModifiedBy>
  <dcterms:modified xsi:type="dcterms:W3CDTF">2016-07-04T13:14:00Z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רוסטיסל חמלניצקי</vt:lpwstr>
  </property>
  <property fmtid="{D5CDD505-2E9C-101B-9397-08002B2CF9AE}" pid="4" name="CASESLISTTMP1">
    <vt:lpwstr>5810781;17943750;6125987;5811731</vt:lpwstr>
  </property>
  <property fmtid="{D5CDD505-2E9C-101B-9397-08002B2CF9AE}" pid="5" name="CITY">
    <vt:lpwstr>נצ'</vt:lpwstr>
  </property>
  <property fmtid="{D5CDD505-2E9C-101B-9397-08002B2CF9AE}" pid="6" name="DATE">
    <vt:lpwstr>20100414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 ג'ורג' אזולאי </vt:lpwstr>
  </property>
  <property fmtid="{D5CDD505-2E9C-101B-9397-08002B2CF9AE}" pid="10" name="LAWLISTTMP1">
    <vt:lpwstr>4216/007.a;007.c;010</vt:lpwstr>
  </property>
  <property fmtid="{D5CDD505-2E9C-101B-9397-08002B2CF9AE}" pid="11" name="LAWLISTTMP2">
    <vt:lpwstr>70301/144.a</vt:lpwstr>
  </property>
  <property fmtid="{D5CDD505-2E9C-101B-9397-08002B2CF9AE}" pid="12" name="LAWYER">
    <vt:lpwstr>אלעד מאיר;עלאא עתאמנה 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10318</vt:lpwstr>
  </property>
  <property fmtid="{D5CDD505-2E9C-101B-9397-08002B2CF9AE}" pid="26" name="NEWPARTB">
    <vt:lpwstr>07</vt:lpwstr>
  </property>
  <property fmtid="{D5CDD505-2E9C-101B-9397-08002B2CF9AE}" pid="27" name="NEWPARTC">
    <vt:lpwstr>08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shalom sh 08 07 10318 190 htm</vt:lpwstr>
  </property>
  <property fmtid="{D5CDD505-2E9C-101B-9397-08002B2CF9AE}" pid="37" name="TYPE">
    <vt:lpwstr>3</vt:lpwstr>
  </property>
  <property fmtid="{D5CDD505-2E9C-101B-9397-08002B2CF9AE}" pid="38" name="TYPE_ABS_DATE">
    <vt:lpwstr>380020100414</vt:lpwstr>
  </property>
  <property fmtid="{D5CDD505-2E9C-101B-9397-08002B2CF9AE}" pid="39" name="TYPE_N_DATE">
    <vt:lpwstr>38020100414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