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32"/>
                <w:szCs w:val="32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David" w:ascii="David" w:hAnsi="David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10347-10-23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רחמים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8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ספטמבר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2024</w:t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906" w:type="dxa"/>
        <w:jc w:val="start"/>
        <w:tblInd w:w="6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3"/>
        <w:gridCol w:w="6463"/>
      </w:tblGrid>
      <w:tr>
        <w:trPr/>
        <w:tc>
          <w:tcPr>
            <w:tcW w:w="8906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שמואל מלמד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4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64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מירב גבע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906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4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ראם רחמים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נעמה אלחדד ועו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מחמוד נעאמנה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244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color w:val="0000FF"/>
          <w:sz w:val="32"/>
          <w:szCs w:val="32"/>
        </w:rPr>
      </w:pPr>
      <w:r>
        <w:rPr>
          <w:rFonts w:cs="FrankRuehl" w:ascii="FrankRuehl" w:hAnsi="FrankRuehl"/>
          <w:color w:val="0000FF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4" w:name="ABSTRACT_START"/>
      <w:bookmarkStart w:id="15" w:name="ABSTRACT_START"/>
      <w:bookmarkEnd w:id="15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10.6.24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105" w:leader="none"/>
        </w:tabs>
        <w:spacing w:lineRule="auto" w:line="360"/>
        <w:ind w:end="0"/>
        <w:jc w:val="both"/>
        <w:rPr/>
      </w:pPr>
      <w:r>
        <w:rPr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tabs>
          <w:tab w:val="clear" w:pos="720"/>
          <w:tab w:val="left" w:pos="1105" w:leader="none"/>
        </w:tabs>
        <w:spacing w:lineRule="auto" w:line="360"/>
        <w:ind w:start="720" w:end="0"/>
        <w:jc w:val="both"/>
        <w:rPr>
          <w:rFonts w:ascii="Arial" w:hAnsi="Arial" w:cs="Arial"/>
          <w:sz w:val="22"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כתב האישום </w:t>
      </w:r>
      <w:r>
        <w:rPr>
          <w:rFonts w:ascii="Arial" w:hAnsi="Arial" w:cs="Arial"/>
          <w:rtl w:val="true"/>
        </w:rPr>
        <w:t xml:space="preserve">המתוקן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12.09.2023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לשעה </w:t>
      </w:r>
      <w:r>
        <w:rPr>
          <w:rFonts w:cs="Arial" w:ascii="Arial" w:hAnsi="Arial"/>
        </w:rPr>
        <w:t>21:31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בביתו ברחוב הצפריר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 יהודה נשא הנאשם על גופו אקדח טעון שסוגו אינו ידוע למאשימה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left" w:pos="720" w:leader="none"/>
          <w:tab w:val="left" w:pos="2160" w:leader="none"/>
          <w:tab w:val="left" w:pos="2880" w:leader="none"/>
        </w:tabs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21:31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נשא הנאשם את האקדח 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איתו מהבנין בו הוא מתגורר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הלך בשביל הכניסה לבניין וחזר עם האקדח לביתו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שהתקיים לפניי ביום </w:t>
      </w:r>
      <w:r>
        <w:rPr>
          <w:rFonts w:cs="Arial" w:ascii="Arial" w:hAnsi="Arial"/>
        </w:rPr>
        <w:t>7.7.24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אריתמטי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שבמנעד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והקוגניטיבי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מטופלות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בזיכוי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hd w:fill="FFFFFF" w:val="clear"/>
        </w:rPr>
      </w:pPr>
      <w:hyperlink r:id="rId1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3851/23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בוהדנה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13.6.2023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- </w:t>
      </w:r>
      <w:r>
        <w:rPr>
          <w:rFonts w:ascii="David" w:hAnsi="David"/>
          <w:color w:val="000000"/>
          <w:shd w:fill="FFFFFF" w:val="clear"/>
          <w:rtl w:val="true"/>
        </w:rPr>
        <w:t xml:space="preserve">המערער </w:t>
      </w:r>
      <w:r>
        <w:rPr>
          <w:rFonts w:ascii="David" w:hAnsi="David"/>
          <w:rtl w:val="true"/>
        </w:rPr>
        <w:t>הורשע על יסוד הודאתו במסגרת הסדר טיעון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ובעבירת החזקת סם מסוכן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 המערער נסע ברכב במושב שליד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נעצר על ידי שוטרים כשהמערער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אקדח מסוג </w:t>
      </w:r>
      <w:r>
        <w:rPr>
          <w:rFonts w:cs="David" w:ascii="David" w:hAnsi="David"/>
        </w:rPr>
        <w:t>ZAGROS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אזרבייג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K-16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ובתוכו מחסנית תואמת שהכילה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היה צמוד למערער ברווח שבין המושב שליד הנהג לבין ידית ההילוכים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מעצרו נמצאו עליו סם מסוכן מסוג חשיש בכמות של </w:t>
      </w:r>
      <w:r>
        <w:rPr>
          <w:rFonts w:cs="David" w:ascii="David" w:hAnsi="David"/>
        </w:rPr>
        <w:t>2.87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סם מסוכן מסוג קנבוס בכמות של </w:t>
      </w:r>
      <w:r>
        <w:rPr>
          <w:rFonts w:cs="David" w:ascii="David" w:hAnsi="David"/>
        </w:rPr>
        <w:t>0.55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ערעורו לבית המשפט העליון נדחה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הורשע על יסוד הודאתו במסגרת הסדר טיעון בעבירות של נשיאת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אשר נסע ברחבי העיר אום אל פאחם 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כשנהג הרכב התבקש לעצור לבדיקת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מהרכב כשהוא נושא עמו את הנשר והחל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בעניינו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 xml:space="preserve">על כל בניה ובנותיה </w:t>
      </w:r>
      <w:r>
        <w:rPr>
          <w:rFonts w:cs="David" w:ascii="David" w:hAnsi="David"/>
          <w:b/>
          <w:bCs/>
          <w:color w:val="000000"/>
          <w:spacing w:val="10"/>
          <w:shd w:fill="FFFFFF" w:val="clear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>מעברייני נשק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וכי 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color w:val="000000"/>
          <w:spacing w:val="10"/>
          <w:shd w:fill="FFFFFF" w:val="clear"/>
        </w:rPr>
        <w:t>30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pacing w:val="10"/>
          <w:shd w:fill="FFFFFF" w:val="clear"/>
        </w:rPr>
        <w:t>42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חודשי מאסר בין סורג ובריח 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(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לצד עונשים נלווים בדמותם של מאסר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על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תנאי וקנס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ומשום שערכאת הערעור אינה ממצה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בית המשפט העליון את עונשו ל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החזקה ונשיאה בנשק לפי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המערער אקדח 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ביכולתו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טעון במחסנית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 ונושא את האקדח טעון במחסנית ובכדורים מוסתר בבגדיו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אשתו לכיוון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שהיו בתצפית יזומה על הנאשם הבחינו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שהנאשם זיהה את השוטרים הוא פתח במנוסה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מנוסתו הוציא הנאשם את האקדח והחזיק אותו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השיגו את הנאשם ואחד השוטרים דרך את נשקו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אל הנאשם והורה לו להשליך את האקדח לרצפה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הנאשם 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35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על חומרת העונש נדחה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6">
        <w:bookmarkStart w:id="18" w:name="casename_body"/>
        <w:bookmarkEnd w:id="18"/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4290/21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עזריה זרבאילוב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06.12.21</w:t>
      </w:r>
      <w:r>
        <w:rPr>
          <w:rFonts w:cs="David" w:ascii="David" w:hAnsi="David"/>
          <w:rtl w:val="true"/>
        </w:rPr>
        <w:t>)</w:t>
      </w:r>
      <w:bookmarkStart w:id="19" w:name="Writer_Name"/>
      <w:bookmarkEnd w:id="19"/>
      <w:r>
        <w:rPr>
          <w:rFonts w:cs="David" w:ascii="David" w:hAnsi="David"/>
          <w:color w:val="333333"/>
          <w:rtl w:val="true"/>
        </w:rPr>
        <w:t xml:space="preserve"> </w:t>
      </w:r>
      <w:r>
        <w:rPr>
          <w:rFonts w:ascii="David" w:hAnsi="David"/>
          <w:color w:val="333333"/>
          <w:rtl w:val="true"/>
        </w:rPr>
        <w:t>המערער הורשע</w:t>
      </w:r>
      <w:r>
        <w:rPr>
          <w:rFonts w:cs="David" w:ascii="David" w:hAnsi="David"/>
          <w:color w:val="333333"/>
          <w:rtl w:val="true"/>
        </w:rPr>
        <w:t xml:space="preserve">, </w:t>
      </w:r>
      <w:r>
        <w:rPr>
          <w:rFonts w:ascii="David" w:hAnsi="David"/>
          <w:color w:val="333333"/>
          <w:rtl w:val="true"/>
        </w:rPr>
        <w:t>על פי הודאתו</w:t>
      </w:r>
      <w:r>
        <w:rPr>
          <w:rFonts w:cs="David" w:ascii="David" w:hAnsi="David"/>
          <w:color w:val="333333"/>
          <w:rtl w:val="true"/>
        </w:rPr>
        <w:t xml:space="preserve">, </w:t>
      </w:r>
      <w:r>
        <w:rPr>
          <w:rFonts w:ascii="David" w:hAnsi="David"/>
          <w:color w:val="333333"/>
          <w:rtl w:val="true"/>
        </w:rPr>
        <w:t xml:space="preserve">בעבירת נשק </w:t>
      </w:r>
      <w:r>
        <w:rPr>
          <w:rFonts w:cs="David" w:ascii="David" w:hAnsi="David"/>
          <w:color w:val="333333"/>
          <w:rtl w:val="true"/>
        </w:rPr>
        <w:t>(</w:t>
      </w:r>
      <w:r>
        <w:rPr>
          <w:rFonts w:ascii="David" w:hAnsi="David"/>
          <w:color w:val="333333"/>
          <w:rtl w:val="true"/>
        </w:rPr>
        <w:t>נשיאה והובלה</w:t>
      </w:r>
      <w:r>
        <w:rPr>
          <w:rFonts w:cs="David" w:ascii="David" w:hAnsi="David"/>
          <w:color w:val="333333"/>
          <w:rtl w:val="true"/>
        </w:rPr>
        <w:t xml:space="preserve">). </w:t>
      </w:r>
      <w:r>
        <w:rPr>
          <w:rFonts w:ascii="David" w:hAnsi="David"/>
          <w:color w:val="333333"/>
          <w:rtl w:val="true"/>
        </w:rPr>
        <w:t>נטען כי בעת שנסע ברכבו</w:t>
      </w:r>
      <w:r>
        <w:rPr>
          <w:rFonts w:cs="David" w:ascii="David" w:hAnsi="David"/>
          <w:color w:val="333333"/>
          <w:rtl w:val="true"/>
        </w:rPr>
        <w:t xml:space="preserve">, </w:t>
      </w:r>
      <w:r>
        <w:rPr>
          <w:rFonts w:ascii="David" w:hAnsi="David"/>
          <w:color w:val="333333"/>
          <w:rtl w:val="true"/>
        </w:rPr>
        <w:t>נשא והוביל בתא המטען שני אקדחים</w:t>
      </w:r>
      <w:r>
        <w:rPr>
          <w:rFonts w:cs="David" w:ascii="David" w:hAnsi="David"/>
          <w:color w:val="333333"/>
          <w:rtl w:val="true"/>
        </w:rPr>
        <w:t xml:space="preserve">, </w:t>
      </w:r>
      <w:r>
        <w:rPr>
          <w:rFonts w:ascii="David" w:hAnsi="David"/>
          <w:color w:val="333333"/>
          <w:rtl w:val="true"/>
        </w:rPr>
        <w:t>שכל אחד מהם טעון במחסנית ובתוכה חמישה כדורים</w:t>
      </w:r>
      <w:r>
        <w:rPr>
          <w:rFonts w:cs="David" w:ascii="David" w:hAnsi="David"/>
          <w:color w:val="333333"/>
          <w:rtl w:val="true"/>
        </w:rPr>
        <w:t xml:space="preserve">. </w:t>
      </w:r>
      <w:r>
        <w:rPr>
          <w:rFonts w:ascii="David" w:hAnsi="David"/>
          <w:color w:val="333333"/>
          <w:rtl w:val="true"/>
        </w:rPr>
        <w:t>הרכב נעצר בידי המשטרה</w:t>
      </w:r>
      <w:r>
        <w:rPr>
          <w:rFonts w:cs="David" w:ascii="David" w:hAnsi="David"/>
          <w:color w:val="333333"/>
          <w:rtl w:val="true"/>
        </w:rPr>
        <w:t xml:space="preserve">, </w:t>
      </w:r>
      <w:r>
        <w:rPr>
          <w:rFonts w:ascii="David" w:hAnsi="David"/>
          <w:color w:val="333333"/>
          <w:rtl w:val="true"/>
        </w:rPr>
        <w:t>שתפסה את הנשק</w:t>
      </w:r>
      <w:r>
        <w:rPr>
          <w:rFonts w:cs="David" w:ascii="David" w:hAnsi="David"/>
          <w:color w:val="333333"/>
          <w:rtl w:val="true"/>
        </w:rPr>
        <w:t xml:space="preserve">. </w:t>
      </w:r>
      <w:r>
        <w:rPr>
          <w:rFonts w:ascii="David" w:hAnsi="David"/>
          <w:color w:val="333333"/>
          <w:rtl w:val="true"/>
        </w:rPr>
        <w:t xml:space="preserve">על המערער נגזרו </w:t>
      </w:r>
      <w:r>
        <w:rPr>
          <w:rFonts w:cs="David" w:ascii="David" w:hAnsi="David"/>
          <w:color w:val="333333"/>
        </w:rPr>
        <w:t>18</w:t>
      </w:r>
      <w:r>
        <w:rPr>
          <w:rFonts w:cs="David" w:ascii="David" w:hAnsi="David"/>
          <w:color w:val="333333"/>
          <w:rtl w:val="true"/>
        </w:rPr>
        <w:t xml:space="preserve"> </w:t>
      </w:r>
      <w:r>
        <w:rPr>
          <w:rFonts w:ascii="David" w:hAnsi="David"/>
          <w:color w:val="333333"/>
          <w:rtl w:val="true"/>
        </w:rPr>
        <w:t>חודשי מאסר לריצוי בפועל ומאסר מותנה</w:t>
      </w:r>
      <w:r>
        <w:rPr>
          <w:rFonts w:cs="David" w:ascii="David" w:hAnsi="David"/>
          <w:color w:val="333333"/>
          <w:rtl w:val="true"/>
        </w:rPr>
        <w:t>.</w:t>
      </w:r>
      <w:r>
        <w:rPr>
          <w:rFonts w:cs="David" w:ascii="David" w:hAnsi="David"/>
          <w:color w:val="333333"/>
          <w:rtl w:val="true"/>
        </w:rPr>
        <w:t xml:space="preserve"> </w:t>
      </w:r>
      <w:r>
        <w:rPr>
          <w:rFonts w:ascii="David" w:hAnsi="David"/>
          <w:color w:val="333333"/>
          <w:rtl w:val="true"/>
        </w:rPr>
        <w:t>הערעור נדחה</w:t>
      </w:r>
      <w:r>
        <w:rPr>
          <w:rFonts w:cs="David" w:ascii="David" w:hAnsi="David"/>
          <w:color w:val="333333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וסים אבו בכר</w:t>
      </w:r>
      <w:r>
        <w:rPr>
          <w:rFonts w:ascii="David" w:hAnsi="David"/>
          <w:rtl w:val="true"/>
        </w:rPr>
        <w:t xml:space="preserve"> ואח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22.03.21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כנגד המערערים הוגש כתב אישום המייחס להם עבירות של הובלה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ייחס כתב האישום למערערים 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+ </w:t>
      </w:r>
      <w:hyperlink r:id="rId22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נהג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ברכב בכפר סאלם כשלצידו יושב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נושאים ומובילים עמם 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ומסוג יריחו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בכל אקדח מחסנית מלאה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 סיור שהיו באותה עת בסיור שגרתי בתחומי הכפר הבחינו ברכב כשהוא נוסע במהירות והחלו לנסוע אחריו כשהם מהבהבים בפנסי הניידת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 בנסיעה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ועצר את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אל חצר בית סמוך והשליך שם את האקדחים והמחסניות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 אל הרכב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המערערים</w:t>
      </w:r>
      <w:r>
        <w:rPr>
          <w:rFonts w:ascii="David" w:hAnsi="David"/>
          <w:rtl w:val="true"/>
        </w:rPr>
        <w:t xml:space="preserve"> נדונו ל</w:t>
      </w:r>
      <w:r>
        <w:rPr>
          <w:rFonts w:ascii="David" w:hAnsi="David"/>
          <w:rtl w:val="true"/>
        </w:rPr>
        <w:t xml:space="preserve">מאסר בפועל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המשרטטות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האופרטיבית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lang w:eastAsia="he-IL"/>
          </w:rPr>
          <w:t>40</w:t>
        </w:r>
        <w:r>
          <w:rPr>
            <w:rStyle w:val="Hyperlink"/>
            <w:color w:val="0000FF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rtl w:val="true"/>
            <w:lang w:eastAsia="he-IL"/>
          </w:rPr>
          <w:t>ג</w:t>
        </w:r>
        <w:r>
          <w:rPr>
            <w:rStyle w:val="Hyperlink"/>
            <w:color w:val="0000FF"/>
            <w:rtl w:val="true"/>
            <w:lang w:eastAsia="he-IL"/>
          </w:rPr>
          <w:t>(</w:t>
        </w:r>
        <w:r>
          <w:rPr>
            <w:rStyle w:val="Hyperlink"/>
            <w:color w:val="0000FF"/>
            <w:rtl w:val="true"/>
            <w:lang w:eastAsia="he-IL"/>
          </w:rPr>
          <w:t>א</w:t>
        </w:r>
        <w:r>
          <w:rPr>
            <w:rStyle w:val="Hyperlink"/>
            <w:color w:val="0000FF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24-48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משנקבע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הנשיאה</w:t>
      </w:r>
      <w:r>
        <w:rPr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המרשם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הנימוקים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מצומצמים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מצומצמת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הסנגורית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פסיכיאטרית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spacing w:lineRule="auto" w:line="360"/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snapToGrid w:val="false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ששמעתי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הצדדים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בטיעוניהם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napToGrid w:val="false"/>
        <w:spacing w:lineRule="auto" w:line="360" w:before="0" w:after="0"/>
        <w:ind w:hanging="360" w:start="36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אני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24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החל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מעצרו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27.9.23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 w:before="0" w:after="0"/>
        <w:ind w:end="0"/>
        <w:contextualSpacing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 w:before="0" w:after="0"/>
        <w:ind w:hanging="360" w:start="36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אני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b/>
          <w:bCs/>
          <w:sz w:val="28"/>
          <w:lang w:eastAsia="he-IL"/>
        </w:rPr>
        <w:t>9</w:t>
      </w:r>
      <w:r>
        <w:rPr>
          <w:b/>
          <w:bCs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וזאת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תנאי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שלוש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שנים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התנאי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יעבור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העבירה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הורשע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שחרורו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 w:before="0" w:after="0"/>
        <w:ind w:end="0"/>
        <w:contextualSpacing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 w:before="0" w:after="0"/>
        <w:ind w:hanging="360" w:start="36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קנס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בסך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2,500</w:t>
      </w:r>
      <w:r>
        <w:rPr>
          <w:sz w:val="28"/>
          <w:rtl w:val="true"/>
          <w:lang w:eastAsia="he-IL"/>
        </w:rPr>
        <w:t xml:space="preserve">  </w:t>
      </w:r>
      <w:r>
        <w:rPr>
          <w:b/>
          <w:bCs/>
          <w:sz w:val="28"/>
          <w:rtl w:val="true"/>
          <w:lang w:eastAsia="he-IL"/>
        </w:rPr>
        <w:t xml:space="preserve">₪ </w:t>
      </w:r>
      <w:r>
        <w:rPr>
          <w:sz w:val="28"/>
          <w:sz w:val="28"/>
          <w:rtl w:val="true"/>
          <w:lang w:eastAsia="he-IL"/>
        </w:rPr>
        <w:t>או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20</w:t>
      </w:r>
      <w:r>
        <w:rPr>
          <w:sz w:val="28"/>
          <w:rtl w:val="true"/>
          <w:lang w:eastAsia="he-IL"/>
        </w:rPr>
        <w:t xml:space="preserve">  </w:t>
      </w:r>
      <w:r>
        <w:rPr>
          <w:sz w:val="28"/>
          <w:sz w:val="28"/>
          <w:rtl w:val="true"/>
          <w:lang w:eastAsia="he-IL"/>
        </w:rPr>
        <w:t>ימי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תמורתם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 w:before="0" w:after="0"/>
        <w:ind w:start="360" w:end="0"/>
        <w:contextualSpacing/>
        <w:jc w:val="both"/>
        <w:rPr/>
      </w:pPr>
      <w:r>
        <w:rPr>
          <w:sz w:val="28"/>
          <w:sz w:val="28"/>
          <w:rtl w:val="true"/>
          <w:lang w:eastAsia="he-IL"/>
        </w:rPr>
        <w:t>הקנס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ישולם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בתוך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120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מהיום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b/>
          <w:b/>
          <w:bCs/>
          <w:sz w:val="28"/>
          <w:sz w:val="28"/>
          <w:u w:val="single"/>
          <w:rtl w:val="true"/>
          <w:lang w:eastAsia="he-IL"/>
        </w:rPr>
        <w:t>זכות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ערעור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לבית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המשפט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העליון</w:t>
      </w:r>
      <w:r>
        <w:rPr>
          <w:b/>
          <w:bCs/>
          <w:sz w:val="28"/>
          <w:u w:val="single"/>
          <w:rtl w:val="true"/>
          <w:lang w:eastAsia="he-IL"/>
        </w:rPr>
        <w:t xml:space="preserve">,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תוך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u w:val="single"/>
          <w:lang w:eastAsia="he-IL"/>
        </w:rPr>
        <w:t>45</w:t>
      </w:r>
      <w:r>
        <w:rPr>
          <w:b/>
          <w:bCs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יום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מהיום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hanging="720" w:start="720" w:end="0"/>
        <w:jc w:val="both"/>
        <w:rPr>
          <w:b/>
          <w:bCs/>
          <w:sz w:val="28"/>
          <w:u w:val="single"/>
          <w:lang w:eastAsia="he-IL"/>
        </w:rPr>
      </w:pPr>
      <w:r>
        <w:rPr>
          <w:b/>
          <w:bCs/>
          <w:sz w:val="28"/>
          <w:u w:val="single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  <w:lang w:eastAsia="he-IL"/>
        </w:rPr>
        <w:t>במידה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וקיימים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מוצגים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הרי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שהם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יושמדו</w:t>
      </w:r>
      <w:r>
        <w:rPr>
          <w:b/>
          <w:bCs/>
          <w:sz w:val="20"/>
          <w:u w:val="single"/>
          <w:rtl w:val="true"/>
          <w:lang w:eastAsia="he-IL"/>
        </w:rPr>
        <w:t xml:space="preserve">,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יחולטו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או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יושבו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לבעליהם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על</w:t>
      </w:r>
      <w:r>
        <w:rPr>
          <w:b/>
          <w:bCs/>
          <w:sz w:val="20"/>
          <w:u w:val="single"/>
          <w:rtl w:val="true"/>
          <w:lang w:eastAsia="he-IL"/>
        </w:rPr>
        <w:t>-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פי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שיקול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הדעת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קצין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החקירה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  <w:sz w:val="20"/>
          <w:u w:val="single"/>
          <w:lang w:eastAsia="he-IL"/>
        </w:rPr>
      </w:pPr>
      <w:r>
        <w:rPr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ככל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שהופקד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יקוזז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היתרה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בהיעדר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המרשם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הושב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הנאמנות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bookmarkStart w:id="2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אלול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20"/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שמואל מלמד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10347-10-23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ראם רחמים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9677445" TargetMode="External"/><Relationship Id="rId11" Type="http://schemas.openxmlformats.org/officeDocument/2006/relationships/hyperlink" Target="http://www.nevo.co.il/case/28883087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29867910" TargetMode="External"/><Relationship Id="rId14" Type="http://schemas.openxmlformats.org/officeDocument/2006/relationships/hyperlink" Target="http://www.nevo.co.il/law/70301/144.a.;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693111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2024-09-12T12:17:00Z</dcterms:created>
  <dc:creator> </dc:creator>
  <dc:description/>
  <cp:keywords/>
  <dc:language>en-IL</dc:language>
  <cp:lastModifiedBy>h1</cp:lastModifiedBy>
  <dcterms:modified xsi:type="dcterms:W3CDTF">2024-09-12T12:17:00Z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ראם רחמים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29677445;28883087;29867910;27716369;26931111</vt:lpwstr>
  </property>
  <property fmtid="{D5CDD505-2E9C-101B-9397-08002B2CF9AE}" pid="9" name="CITY">
    <vt:lpwstr>ת"א</vt:lpwstr>
  </property>
  <property fmtid="{D5CDD505-2E9C-101B-9397-08002B2CF9AE}" pid="10" name="DATE">
    <vt:lpwstr>20240908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שמואל מלמד</vt:lpwstr>
  </property>
  <property fmtid="{D5CDD505-2E9C-101B-9397-08002B2CF9AE}" pid="14" name="LAWLISTTMP1">
    <vt:lpwstr>70301/144.b:3;144.a:2;029:2;244;040c.a</vt:lpwstr>
  </property>
  <property fmtid="{D5CDD505-2E9C-101B-9397-08002B2CF9AE}" pid="15" name="LAWYER">
    <vt:lpwstr>מירב גבע;נעמה אלחדד;מחמוד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10347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390020240908</vt:lpwstr>
  </property>
  <property fmtid="{D5CDD505-2E9C-101B-9397-08002B2CF9AE}" pid="34" name="TYPE_N_DATE">
    <vt:lpwstr>39020240908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