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1035-06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תביעות חדרה 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דבוש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משה גינות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תביעות חדרה 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אילן דבוש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 xml:space="preserve">בעצמו </w:t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דנית אברג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יל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384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6" w:name="LawTable_End"/>
      <w:bookmarkStart w:id="7" w:name="LawTable_End"/>
      <w:bookmarkEnd w:id="7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LastJudge"/>
      <w:bookmarkStart w:id="9" w:name="PsakDin"/>
      <w:bookmarkEnd w:id="8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2" w:name="ABSTRACT_START"/>
      <w:bookmarkEnd w:id="12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אילן דבוש</w:t>
      </w:r>
      <w:r>
        <w:rPr>
          <w:rtl w:val="true"/>
        </w:rPr>
        <w:t xml:space="preserve">, </w:t>
      </w:r>
      <w:r>
        <w:rPr>
          <w:rtl w:val="true"/>
        </w:rPr>
        <w:t>הורשע לאחר ניהול משפט הוכחות ארוך</w:t>
      </w:r>
      <w:r>
        <w:rPr>
          <w:rtl w:val="true"/>
        </w:rPr>
        <w:t xml:space="preserve">, </w:t>
      </w:r>
      <w:r>
        <w:rPr>
          <w:rtl w:val="true"/>
        </w:rPr>
        <w:t>בשלושה פרטי אישום של עבירת  התפרצות למקום מגורים או תפילה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 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3" w:name="ABSTRACT_END"/>
      <w:bookmarkEnd w:id="13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עובדות כתב האישום פורטו באריכות בהכרעת הדין שניתנה בתיק זה ביום </w:t>
      </w:r>
      <w:r>
        <w:rPr/>
        <w:t>3.2.11</w:t>
      </w:r>
      <w:r>
        <w:rPr>
          <w:rtl w:val="true"/>
        </w:rPr>
        <w:t xml:space="preserve"> </w:t>
      </w:r>
      <w:r>
        <w:rPr>
          <w:rtl w:val="true"/>
        </w:rPr>
        <w:t>לפיכך אין טעם לשוב ולפרטן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בטיעוניה לעונש</w:t>
      </w:r>
      <w:r>
        <w:rPr>
          <w:rtl w:val="true"/>
        </w:rPr>
        <w:t xml:space="preserve">, </w:t>
      </w:r>
      <w:r>
        <w:rPr>
          <w:rtl w:val="true"/>
        </w:rPr>
        <w:t xml:space="preserve">הפנתה לעברו הפלילי המכביד של הנאשם הכולל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הרשעות קודמות בעבירות של אלימות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ועבירות רכוש רבות שמרביתן התפרצויות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טענה כי מאסרים ממושכים מאחורי סורג ובריח לא הרתיעו את הנאשם מלשוב ולבצע עבירות רכוש</w:t>
      </w:r>
      <w:r>
        <w:rPr>
          <w:rtl w:val="true"/>
        </w:rPr>
        <w:t xml:space="preserve">. </w:t>
      </w:r>
      <w:r>
        <w:rPr>
          <w:rtl w:val="true"/>
        </w:rPr>
        <w:t>עוד טענה ב</w:t>
      </w:r>
      <w:r>
        <w:rPr>
          <w:rtl w:val="true"/>
        </w:rPr>
        <w:t>"</w:t>
      </w:r>
      <w:r>
        <w:rPr>
          <w:rtl w:val="true"/>
        </w:rPr>
        <w:t>כ המאשימה כי אומנם שותפו של הנאשם בביצוע עבירות</w:t>
      </w:r>
      <w:r>
        <w:rPr>
          <w:rtl w:val="true"/>
        </w:rPr>
        <w:t xml:space="preserve">, </w:t>
      </w:r>
      <w:r>
        <w:rPr>
          <w:rtl w:val="true"/>
        </w:rPr>
        <w:t>אברמוב גבריאל</w:t>
      </w:r>
      <w:r>
        <w:rPr>
          <w:rtl w:val="true"/>
        </w:rPr>
        <w:t xml:space="preserve">, </w:t>
      </w:r>
      <w:r>
        <w:rPr>
          <w:rtl w:val="true"/>
        </w:rPr>
        <w:t>נידון 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והתחייבות כספית אך אין לגזור ממנו גזירה שווה לעניין עונשו של הנאשם</w:t>
      </w:r>
      <w:r>
        <w:rPr>
          <w:rtl w:val="true"/>
        </w:rPr>
        <w:t xml:space="preserve">, </w:t>
      </w:r>
      <w:r>
        <w:rPr>
          <w:rtl w:val="true"/>
        </w:rPr>
        <w:t>מאחר ואברמוב בחר להודות וחסך זמן שיפוטי יקר</w:t>
      </w:r>
      <w:r>
        <w:rPr>
          <w:rtl w:val="true"/>
        </w:rPr>
        <w:t xml:space="preserve">, </w:t>
      </w:r>
      <w:r>
        <w:rPr>
          <w:rtl w:val="true"/>
        </w:rPr>
        <w:t xml:space="preserve">בעוד שהנאשם בחר לנהל תיק הוכחות שהתפרס על פני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תוך שהוא החליף מספר סנגורים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הפנתה לפסיקה ענפה אשר בהן החמירו ביהמ</w:t>
      </w:r>
      <w:r>
        <w:rPr>
          <w:rtl w:val="true"/>
        </w:rPr>
        <w:t>"</w:t>
      </w:r>
      <w:r>
        <w:rPr>
          <w:rtl w:val="true"/>
        </w:rPr>
        <w:t>ש בעונשם של מבצעי עבירות רכוש וטענה כי לנאשם ניתנו הרבה הזדמנויות אך הוא לא השכיל להימנע מביצוע עבירות נוספות</w:t>
      </w:r>
      <w:r>
        <w:rPr>
          <w:rtl w:val="true"/>
        </w:rPr>
        <w:t xml:space="preserve">, </w:t>
      </w:r>
      <w:r>
        <w:rPr>
          <w:rtl w:val="true"/>
        </w:rPr>
        <w:t>ועל כן עתרה ב</w:t>
      </w:r>
      <w:r>
        <w:rPr>
          <w:rtl w:val="true"/>
        </w:rPr>
        <w:t>"</w:t>
      </w:r>
      <w:r>
        <w:rPr>
          <w:rtl w:val="true"/>
        </w:rPr>
        <w:t>כ המאשימה להשית על הנאשם מאסר בפועל ממושך</w:t>
      </w:r>
      <w:r>
        <w:rPr>
          <w:rtl w:val="true"/>
        </w:rPr>
        <w:t xml:space="preserve">, </w:t>
      </w:r>
      <w:r>
        <w:rPr>
          <w:rtl w:val="true"/>
        </w:rPr>
        <w:t>מאסר על תנאי מרתיע</w:t>
      </w:r>
      <w:r>
        <w:rPr>
          <w:rtl w:val="true"/>
        </w:rPr>
        <w:t xml:space="preserve">, </w:t>
      </w:r>
      <w:r>
        <w:rPr>
          <w:rtl w:val="true"/>
        </w:rPr>
        <w:t>קנס ופיצוי למתלוננים</w:t>
      </w:r>
      <w:r>
        <w:rPr>
          <w:rtl w:val="true"/>
        </w:rPr>
        <w:t xml:space="preserve">. </w:t>
      </w:r>
      <w:r>
        <w:rPr>
          <w:rtl w:val="true"/>
        </w:rPr>
        <w:t xml:space="preserve">המוצג </w:t>
      </w:r>
      <w:r>
        <w:rPr>
          <w:rtl w:val="true"/>
        </w:rPr>
        <w:t>(</w:t>
      </w:r>
      <w:r>
        <w:rPr>
          <w:rtl w:val="true"/>
        </w:rPr>
        <w:t>דיסקים</w:t>
      </w:r>
      <w:r>
        <w:rPr>
          <w:rtl w:val="true"/>
        </w:rPr>
        <w:t xml:space="preserve">) – </w:t>
      </w:r>
      <w:r>
        <w:rPr>
          <w:rtl w:val="true"/>
        </w:rPr>
        <w:t>לגנוז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טענה כי אין לזקוף לחובתו של הנאשם את זכות היסוד שהוא בחר לנצל ולנהל תיק ראיות</w:t>
      </w:r>
      <w:r>
        <w:rPr>
          <w:rtl w:val="true"/>
        </w:rPr>
        <w:t xml:space="preserve">. </w:t>
      </w:r>
      <w:r>
        <w:rPr>
          <w:rtl w:val="true"/>
        </w:rPr>
        <w:t>עוד טענה ב</w:t>
      </w:r>
      <w:r>
        <w:rPr>
          <w:rtl w:val="true"/>
        </w:rPr>
        <w:t>"</w:t>
      </w:r>
      <w:r>
        <w:rPr>
          <w:rtl w:val="true"/>
        </w:rPr>
        <w:t>כ הנאשם כי הנאשם נמצא בהליך שיקומי של גמילה מסמים</w:t>
      </w:r>
      <w:r>
        <w:rPr>
          <w:rtl w:val="true"/>
        </w:rPr>
        <w:t xml:space="preserve">, </w:t>
      </w:r>
      <w:r>
        <w:rPr>
          <w:rtl w:val="true"/>
        </w:rPr>
        <w:t xml:space="preserve">הכולל בין היתר מתן בדיקות שתן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פעמים בשבוע</w:t>
      </w:r>
      <w:r>
        <w:rPr>
          <w:rtl w:val="true"/>
        </w:rPr>
        <w:t xml:space="preserve">, </w:t>
      </w:r>
      <w:r>
        <w:rPr>
          <w:rtl w:val="true"/>
        </w:rPr>
        <w:t>ועל כן עתרה להתחשב בנסיבות האישיות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גילו </w:t>
      </w:r>
      <w:r>
        <w:rPr>
          <w:rtl w:val="true"/>
        </w:rPr>
        <w:t>(</w:t>
      </w:r>
      <w:r>
        <w:rPr/>
        <w:t>40</w:t>
      </w:r>
      <w:r>
        <w:rPr>
          <w:rtl w:val="true"/>
        </w:rPr>
        <w:t xml:space="preserve">) </w:t>
      </w:r>
      <w:r>
        <w:rPr>
          <w:rtl w:val="true"/>
        </w:rPr>
        <w:t>ולהשית עליו עונש מידתי שיקומי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 w:before="120" w:after="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בבוא בית המשפט לגזור את דינו של הנאשם עליו להטיל עונש אשר יש בו כדי לשקף את מדיניות ההחמרה של בית המשפט העליון בכל הקשור לעבירות התפרצות</w:t>
      </w:r>
      <w:r>
        <w:rPr>
          <w:rtl w:val="true"/>
        </w:rPr>
        <w:t xml:space="preserve">, </w:t>
      </w:r>
      <w:r>
        <w:rPr>
          <w:rtl w:val="true"/>
        </w:rPr>
        <w:t>אשר הפכו למכת  מדינה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uppressLineNumbers/>
        <w:spacing w:lineRule="auto" w:line="360"/>
        <w:ind w:start="720"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מן הראוי להשית על הנאשם עונש אשר יהא בו כדי לתת ביטוי לחומרת מעשיו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וזאת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כאינטרס ציבורי ממעלה ראשונה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עונש אשר יהווה מסר הרתעתי הן לנאשם והן לעבריינים פוטנציאלים אחרים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Ruller5"/>
        <w:spacing w:lineRule="auto" w:line="360"/>
        <w:ind w:start="1282" w:end="1642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  <w:t xml:space="preserve"> 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spacing w:lineRule="auto" w:line="360" w:before="0" w:after="80"/>
        <w:ind w:start="720" w:end="0"/>
        <w:jc w:val="both"/>
        <w:rPr/>
      </w:pPr>
      <w:r>
        <w:rPr>
          <w:color w:val="000000"/>
          <w:rtl w:val="true"/>
        </w:rPr>
        <w:t>על בית המשפט לתת דעתו לנזק הכלכלי שנגרם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לבעלי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הרכוש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ולציבור בכללותו</w:t>
      </w:r>
      <w:r>
        <w:rPr>
          <w:rtl w:val="true"/>
        </w:rPr>
        <w:t xml:space="preserve">, </w:t>
      </w:r>
      <w:r>
        <w:rPr>
          <w:rtl w:val="true"/>
        </w:rPr>
        <w:t>הנדרש לנקוט באמצעים מוגברים בכדי להגן על רכושו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Fonts w:ascii="Times New Roman-Normal-1255;Times New Roman" w:hAnsi="Times New Roman-Normal-1255;Times New Roman"/>
          <w:rtl w:val="true"/>
        </w:rPr>
        <w:t>אובדן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תחושת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הביטחון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האישי</w:t>
      </w:r>
      <w:r>
        <w:rPr>
          <w:rFonts w:ascii="Times New Roman-Normal-1255;Times New Roman" w:hAnsi="Times New Roman-Normal-1255;Times New Roman"/>
          <w:rtl w:val="true"/>
        </w:rPr>
        <w:t xml:space="preserve">, </w:t>
      </w:r>
      <w:r>
        <w:rPr>
          <w:rFonts w:ascii="Times New Roman-Normal-1255;Times New Roman" w:hAnsi="Times New Roman-Normal-1255;Times New Roman"/>
          <w:rtl w:val="true"/>
        </w:rPr>
        <w:t>תחושת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הפחד וחוסר</w:t>
      </w:r>
      <w:r>
        <w:rPr>
          <w:color w:val="000000"/>
          <w:rtl w:val="true"/>
        </w:rPr>
        <w:t xml:space="preserve"> האונים של הציבור הרחב הנחשף פעם אחר פעם למקרים של פריצה לבתי מגורים</w:t>
      </w:r>
      <w:r>
        <w:rPr>
          <w:color w:val="000000"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נזקים אלו עולים לפרקים בחומרתם אף על עצם אובדן הרכוש בשווי כזה או אחר</w:t>
      </w:r>
      <w:r>
        <w:rPr>
          <w:rtl w:val="true"/>
        </w:rPr>
        <w:t xml:space="preserve">. </w:t>
      </w:r>
      <w:r>
        <w:rPr>
          <w:rtl w:val="true"/>
        </w:rPr>
        <w:t>דברים ברוח זו נאמרו 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46/84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 ישראל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סבח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לח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752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754-753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spacing w:lineRule="auto" w:line="360" w:before="0" w:after="8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1080"/>
        <w:jc w:val="both"/>
        <w:rPr>
          <w:color w:val="000000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בעת מתן גזר הדין אסור לבית המשפט להתעלם מעגמת הנפש והבהלה הנגרמות לתושבים שלווים בעטין של עבירות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לחשש של מאות משפחות לעזוב את ילדיהן המפוחדים לבדם בבית בעקבות החוויה הטראומטית שפקדה אותם או את שכניהם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ומהצער שנגרם עקב אובדן רכוש בעל ערך סנטימנטאלי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עבריינים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שפוקדים לילה לילה דירה באותה סביבה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מטילים למעשה את חיתיתם על אזור שלם ומשליטים טרור בין תושביו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העונש המוטל בשל מעשים כאלה חייב לתת ביטוי גם להיבט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 שלא ניתן לומר ביחס לעונש שהושת על המשיב במקרה דנן</w:t>
      </w:r>
      <w:r>
        <w:rPr>
          <w:b/>
          <w:bCs/>
          <w:rtl w:val="true"/>
        </w:rPr>
        <w:t xml:space="preserve">..." 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"/>
        <w:tabs>
          <w:tab w:val="clear" w:pos="720"/>
          <w:tab w:val="left" w:pos="584" w:leader="none"/>
        </w:tabs>
        <w:ind w:start="720" w:end="0"/>
        <w:jc w:val="both"/>
        <w:rPr>
          <w:b/>
          <w:bCs/>
        </w:rPr>
      </w:pPr>
      <w:r>
        <w:rPr>
          <w:rFonts w:cs="David"/>
          <w:sz w:val="24"/>
          <w:sz w:val="24"/>
          <w:szCs w:val="24"/>
          <w:rtl w:val="true"/>
        </w:rPr>
        <w:t>הדרישה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הפורצים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לבתיהם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אזרחים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תמימים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רובינשטיין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9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sz w:val="24"/>
            <w:szCs w:val="24"/>
          </w:rPr>
          <w:t>1708/08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u w:val="single"/>
          <w:rtl w:val="true"/>
        </w:rPr>
        <w:t>לוי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David"/>
          <w:b/>
          <w:bCs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u w:val="single"/>
          <w:rtl w:val="true"/>
        </w:rPr>
        <w:t>מדינת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u w:val="single"/>
          <w:rtl w:val="true"/>
        </w:rPr>
        <w:t>ישראל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21.2.08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בנושא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tabs>
          <w:tab w:val="clear" w:pos="720"/>
          <w:tab w:val="left" w:pos="584" w:leader="none"/>
        </w:tabs>
        <w:ind w:start="720" w:end="72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"/>
        <w:tabs>
          <w:tab w:val="clear" w:pos="720"/>
          <w:tab w:val="left" w:pos="584" w:leader="none"/>
        </w:tabs>
        <w:ind w:hanging="720" w:start="1440" w:end="1080"/>
        <w:jc w:val="both"/>
        <w:rPr>
          <w:rFonts w:cs="David"/>
          <w:b/>
          <w:bCs/>
          <w:sz w:val="24"/>
          <w:szCs w:val="24"/>
        </w:rPr>
      </w:pPr>
      <w:r>
        <w:rPr>
          <w:b/>
          <w:bCs/>
          <w:rtl w:val="true"/>
        </w:rPr>
        <w:tab/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לקבל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הטענה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המרכזית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שהטיל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המחוזי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המבקש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סוטה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ממדיניות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הראויה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המחוזי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צדק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צדק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משהטעים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התפרצות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הרכוש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שהיו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אפשר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לומר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למכת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למקור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דאגה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וטרוניה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לאזרחים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ולפגיעה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בתחושת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ביטחונם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נקל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לשער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החוויה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העוברת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קרבנות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הפריצה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בשובם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לביתם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הפיכת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סדום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ועמורה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בתוכו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וחפצים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וכסף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נעלמו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ואינם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ולעיתים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קרובות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משמעות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הדבר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הרכוש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יירד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לטמיון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שכן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יילכד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שהשכים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לעבודתו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רכבו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שהחנה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לעתותי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ערב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נגנב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אמנם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במקרה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דנא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נלכד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המבקש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ועמו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הרכוש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מאותה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פריצה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נעצר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מרכוש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בהתערבות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השלום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לפצות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הטראומה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שגרם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פחות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ארבע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פריצות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לאורך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המחצית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2007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הודה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שנמנו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מעלה</w:t>
      </w:r>
      <w:r>
        <w:rPr>
          <w:rFonts w:cs="David"/>
          <w:b/>
          <w:bCs/>
          <w:sz w:val="24"/>
          <w:szCs w:val="24"/>
          <w:rtl w:val="true"/>
        </w:rPr>
        <w:t>..."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Cs/>
          <w:spacing w:val="10"/>
          <w:sz w:val="24"/>
          <w:szCs w:val="24"/>
        </w:rPr>
      </w:pPr>
      <w:r>
        <w:rPr>
          <w:rFonts w:cs="Times New Roman" w:ascii="Times New Roman" w:hAnsi="Times New Roman"/>
          <w:b/>
          <w:bCs/>
          <w:spacing w:val="10"/>
          <w:sz w:val="24"/>
          <w:szCs w:val="24"/>
        </w:rPr>
      </w:r>
    </w:p>
    <w:p>
      <w:pPr>
        <w:pStyle w:val="NormalWeb"/>
        <w:bidi w:val="1"/>
        <w:spacing w:lineRule="auto" w:line="360" w:before="280" w:after="0"/>
        <w:ind w:hanging="720" w:start="720" w:end="0"/>
        <w:jc w:val="both"/>
        <w:textAlignment w:val="top"/>
        <w:rPr>
          <w:rFonts w:ascii="Arial" w:hAnsi="Arial" w:cs="David"/>
        </w:rPr>
      </w:pPr>
      <w:r>
        <w:rPr>
          <w:rFonts w:cs="David"/>
        </w:rPr>
        <w:t>6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אומנם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הינן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אולם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גזירת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להתחשב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במכלול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הנסיבות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המעשה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Fonts w:eastAsia="Arial Unicode MS" w:cs="Arial Unicode MS"/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Fonts w:eastAsia="Arial Unicode MS" w:cs="Arial Unicode MS"/>
          <w:rtl w:val="true"/>
        </w:rPr>
        <w:t xml:space="preserve">  </w:t>
      </w:r>
      <w:r>
        <w:rPr>
          <w:rFonts w:cs="David"/>
          <w:rtl w:val="true"/>
        </w:rPr>
        <w:t>העושה</w:t>
      </w:r>
      <w:r>
        <w:rPr>
          <w:rFonts w:cs="David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-Normal-1255;Times New Roman" w:hAnsi="Times New Roman-Normal-1255;Times New Roman" w:cs="Times New Roman"/>
        </w:rPr>
      </w:pPr>
      <w:r>
        <w:rPr>
          <w:rFonts w:cs="Times New Roman" w:ascii="Times New Roman-Normal-1255;Times New Roman" w:hAnsi="Times New Roman-Normal-1255;Times New Roman"/>
          <w:rtl w:val="true"/>
        </w:rPr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Times New Roman-Normal-1255;Times New Roman" w:hAnsi="Times New Roman-Normal-1255;Times New Roman"/>
        </w:rPr>
      </w:pPr>
      <w:r>
        <w:rPr>
          <w:rFonts w:ascii="Times New Roman-Normal-1255;Times New Roman" w:hAnsi="Times New Roman-Normal-1255;Times New Roman"/>
          <w:rtl w:val="true"/>
        </w:rPr>
        <w:t>במקרה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שבפני</w:t>
      </w:r>
      <w:r>
        <w:rPr>
          <w:rFonts w:ascii="Times New Roman-Normal-1255;Times New Roman" w:hAnsi="Times New Roman-Normal-1255;Times New Roman"/>
          <w:rtl w:val="true"/>
        </w:rPr>
        <w:t xml:space="preserve">, </w:t>
      </w:r>
      <w:r>
        <w:rPr>
          <w:rFonts w:ascii="Times New Roman-Normal-1255;Times New Roman" w:hAnsi="Times New Roman-Normal-1255;Times New Roman"/>
          <w:rtl w:val="true"/>
        </w:rPr>
        <w:t>נתתי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דעתי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לנסיבותיו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האישיות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של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הנאשם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מדובר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בגבר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בן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</w:rPr>
        <w:t>40</w:t>
      </w:r>
      <w:r>
        <w:rPr>
          <w:rFonts w:ascii="Times New Roman-Normal-1255;Times New Roman" w:hAnsi="Times New Roman-Normal-1255;Times New Roman"/>
          <w:rtl w:val="true"/>
        </w:rPr>
        <w:t xml:space="preserve">, </w:t>
      </w:r>
      <w:r>
        <w:rPr>
          <w:rFonts w:ascii="Times New Roman-Normal-1255;Times New Roman" w:hAnsi="Times New Roman-Normal-1255;Times New Roman"/>
          <w:rtl w:val="true"/>
        </w:rPr>
        <w:t>אשר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מאז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צעירותו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מכור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לסמים</w:t>
      </w:r>
      <w:r>
        <w:rPr>
          <w:rFonts w:ascii="Times New Roman-Normal-1255;Times New Roman" w:hAnsi="Times New Roman-Normal-1255;Times New Roman"/>
          <w:rtl w:val="true"/>
        </w:rPr>
        <w:t xml:space="preserve">. </w:t>
      </w:r>
      <w:r>
        <w:rPr>
          <w:rFonts w:ascii="Times New Roman-Normal-1255;Times New Roman" w:hAnsi="Times New Roman-Normal-1255;Times New Roman"/>
          <w:rtl w:val="true"/>
        </w:rPr>
        <w:t>בתאריך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</w:rPr>
        <w:t>26.12.10</w:t>
      </w:r>
      <w:r>
        <w:rPr>
          <w:rFonts w:ascii="Times New Roman-Normal-1255;Times New Roman" w:hAnsi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הנאשם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השתלב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בטיפול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במסגרת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מרכז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יום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לנפגעי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סמים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וכעולה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מהמכתבים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של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העובדות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הסוציאליות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שהוגשו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בפני</w:t>
      </w:r>
      <w:r>
        <w:rPr>
          <w:rFonts w:ascii="Times New Roman-Normal-1255;Times New Roman" w:hAnsi="Times New Roman-Normal-1255;Times New Roman"/>
          <w:rtl w:val="true"/>
        </w:rPr>
        <w:t xml:space="preserve">, </w:t>
      </w:r>
      <w:r>
        <w:rPr>
          <w:rFonts w:ascii="Times New Roman-Normal-1255;Times New Roman" w:hAnsi="Times New Roman-Normal-1255;Times New Roman"/>
          <w:rtl w:val="true"/>
        </w:rPr>
        <w:t>הנאשם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מתמיד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להגיע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כל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בוקר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לטיפול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במרכז</w:t>
      </w:r>
      <w:r>
        <w:rPr>
          <w:rFonts w:ascii="Times New Roman-Normal-1255;Times New Roman" w:hAnsi="Times New Roman-Normal-1255;Times New Roman"/>
          <w:rtl w:val="true"/>
        </w:rPr>
        <w:t xml:space="preserve">, </w:t>
      </w:r>
      <w:r>
        <w:rPr>
          <w:rFonts w:ascii="Times New Roman-Normal-1255;Times New Roman" w:hAnsi="Times New Roman-Normal-1255;Times New Roman"/>
        </w:rPr>
        <w:t>5</w:t>
      </w:r>
      <w:r>
        <w:rPr>
          <w:rFonts w:ascii="Times New Roman-Normal-1255;Times New Roman" w:hAnsi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ימים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בשבוע</w:t>
      </w:r>
      <w:r>
        <w:rPr>
          <w:rFonts w:ascii="Times New Roman-Normal-1255;Times New Roman" w:hAnsi="Times New Roman-Normal-1255;Times New Roman"/>
          <w:rtl w:val="true"/>
        </w:rPr>
        <w:t xml:space="preserve">, </w:t>
      </w:r>
      <w:r>
        <w:rPr>
          <w:rFonts w:ascii="Times New Roman-Normal-1255;Times New Roman" w:hAnsi="Times New Roman-Normal-1255;Times New Roman"/>
          <w:rtl w:val="true"/>
        </w:rPr>
        <w:t>בין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השעות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</w:rPr>
        <w:t>9:00</w:t>
      </w:r>
      <w:r>
        <w:rPr>
          <w:rFonts w:ascii="Times New Roman-Normal-1255;Times New Roman" w:hAnsi="Times New Roman-Normal-1255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ascii="Times New Roman-Normal-1255;Times New Roman" w:hAnsi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</w:rPr>
        <w:t>15:00</w:t>
      </w:r>
      <w:r>
        <w:rPr>
          <w:rFonts w:ascii="Times New Roman-Normal-1255;Times New Roman" w:hAnsi="Times New Roman-Normal-1255;Times New Roman"/>
          <w:rtl w:val="true"/>
        </w:rPr>
        <w:t xml:space="preserve">. </w:t>
      </w:r>
      <w:r>
        <w:rPr>
          <w:rFonts w:ascii="Times New Roman-Normal-1255;Times New Roman" w:hAnsi="Times New Roman-Normal-1255;Times New Roman"/>
          <w:rtl w:val="true"/>
        </w:rPr>
        <w:t>כעולה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ממכתבה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של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העו</w:t>
      </w:r>
      <w:r>
        <w:rPr>
          <w:rFonts w:ascii="Times New Roman-Normal-1255;Times New Roman" w:hAnsi="Times New Roman-Normal-1255;Times New Roman"/>
          <w:rtl w:val="true"/>
        </w:rPr>
        <w:t>"</w:t>
      </w:r>
      <w:r>
        <w:rPr>
          <w:rFonts w:ascii="Times New Roman-Normal-1255;Times New Roman" w:hAnsi="Times New Roman-Normal-1255;Times New Roman"/>
          <w:rtl w:val="true"/>
        </w:rPr>
        <w:t>ס</w:t>
      </w:r>
      <w:r>
        <w:rPr>
          <w:rFonts w:ascii="Times New Roman-Normal-1255;Times New Roman" w:hAnsi="Times New Roman-Normal-1255;Times New Roman"/>
          <w:rtl w:val="true"/>
        </w:rPr>
        <w:t xml:space="preserve">, </w:t>
      </w:r>
      <w:r>
        <w:rPr>
          <w:rFonts w:ascii="Times New Roman-Normal-1255;Times New Roman" w:hAnsi="Times New Roman-Normal-1255;Times New Roman"/>
          <w:rtl w:val="true"/>
        </w:rPr>
        <w:t>בדיקות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השתן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של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נאשם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מגלות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כי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הוא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נקי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מסמים</w:t>
      </w:r>
      <w:r>
        <w:rPr>
          <w:rFonts w:ascii="Times New Roman-Normal-1255;Times New Roman" w:hAnsi="Times New Roman-Normal-1255;Times New Roman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-Normal-1255;Times New Roman" w:hAnsi="Times New Roman-Normal-1255;Times New Roman"/>
          <w:sz w:val="20"/>
          <w:szCs w:val="20"/>
        </w:rPr>
      </w:pPr>
      <w:r>
        <w:rPr>
          <w:rFonts w:ascii="Times New Roman-Normal-1255;Times New Roman" w:hAnsi="Times New Roman-Normal-1255;Times New Roman"/>
          <w:sz w:val="20"/>
          <w:szCs w:val="20"/>
          <w:rtl w:val="true"/>
        </w:rPr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Times New Roman-Normal-1255;Times New Roman" w:hAnsi="Times New Roman-Normal-1255;Times New Roman"/>
        </w:rPr>
      </w:pPr>
      <w:r>
        <w:rPr>
          <w:rFonts w:ascii="Times New Roman-Normal-1255;Times New Roman" w:hAnsi="Times New Roman-Normal-1255;Times New Roman"/>
          <w:rtl w:val="true"/>
        </w:rPr>
        <w:t>יחד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עם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זאת</w:t>
      </w:r>
      <w:r>
        <w:rPr>
          <w:rFonts w:ascii="Times New Roman-Normal-1255;Times New Roman" w:hAnsi="Times New Roman-Normal-1255;Times New Roman"/>
          <w:rtl w:val="true"/>
        </w:rPr>
        <w:t xml:space="preserve">, </w:t>
      </w:r>
      <w:r>
        <w:rPr>
          <w:rFonts w:ascii="Times New Roman-Normal-1255;Times New Roman" w:hAnsi="Times New Roman-Normal-1255;Times New Roman"/>
          <w:rtl w:val="true"/>
        </w:rPr>
        <w:t>נתתי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דעתי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כי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אין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זו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מעידתו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הראשונה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של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הנאשם</w:t>
      </w:r>
      <w:r>
        <w:rPr>
          <w:rFonts w:ascii="Times New Roman-Normal-1255;Times New Roman" w:hAnsi="Times New Roman-Normal-1255;Times New Roman"/>
          <w:rtl w:val="true"/>
        </w:rPr>
        <w:t xml:space="preserve">. </w:t>
      </w:r>
      <w:r>
        <w:rPr>
          <w:rFonts w:ascii="Times New Roman-Normal-1255;Times New Roman" w:hAnsi="Times New Roman-Normal-1255;Times New Roman"/>
          <w:rtl w:val="true"/>
        </w:rPr>
        <w:t>לחובתו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עבר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פלילי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הכולל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</w:rPr>
        <w:t>12</w:t>
      </w:r>
      <w:r>
        <w:rPr>
          <w:rFonts w:ascii="Times New Roman-Normal-1255;Times New Roman" w:hAnsi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הרשעות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קודמות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בעבירות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רכוש</w:t>
      </w:r>
      <w:r>
        <w:rPr>
          <w:rFonts w:ascii="Times New Roman-Normal-1255;Times New Roman" w:hAnsi="Times New Roman-Normal-1255;Times New Roman"/>
          <w:rtl w:val="true"/>
        </w:rPr>
        <w:t xml:space="preserve">, </w:t>
      </w:r>
      <w:r>
        <w:rPr>
          <w:rFonts w:ascii="Times New Roman-Normal-1255;Times New Roman" w:hAnsi="Times New Roman-Normal-1255;Times New Roman"/>
          <w:rtl w:val="true"/>
        </w:rPr>
        <w:t>סמים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ואלימות</w:t>
      </w:r>
      <w:r>
        <w:rPr>
          <w:rFonts w:ascii="Times New Roman-Normal-1255;Times New Roman" w:hAnsi="Times New Roman-Normal-1255;Times New Roman"/>
          <w:rtl w:val="true"/>
        </w:rPr>
        <w:t xml:space="preserve">. </w:t>
      </w:r>
      <w:r>
        <w:rPr>
          <w:rFonts w:ascii="Times New Roman-Normal-1255;Times New Roman" w:hAnsi="Times New Roman-Normal-1255;Times New Roman"/>
          <w:rtl w:val="true"/>
        </w:rPr>
        <w:t>הנאשם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לא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השכיל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לנצל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את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ההזדמנויות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שניתנו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לו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ע</w:t>
      </w:r>
      <w:r>
        <w:rPr>
          <w:rFonts w:ascii="Times New Roman-Normal-1255;Times New Roman" w:hAnsi="Times New Roman-Normal-1255;Times New Roman"/>
          <w:rtl w:val="true"/>
        </w:rPr>
        <w:t>"</w:t>
      </w:r>
      <w:r>
        <w:rPr>
          <w:rFonts w:ascii="Times New Roman-Normal-1255;Times New Roman" w:hAnsi="Times New Roman-Normal-1255;Times New Roman"/>
          <w:rtl w:val="true"/>
        </w:rPr>
        <w:t>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ביהמ</w:t>
      </w:r>
      <w:r>
        <w:rPr>
          <w:rFonts w:ascii="Times New Roman-Normal-1255;Times New Roman" w:hAnsi="Times New Roman-Normal-1255;Times New Roman"/>
          <w:rtl w:val="true"/>
        </w:rPr>
        <w:t>"</w:t>
      </w:r>
      <w:r>
        <w:rPr>
          <w:rFonts w:ascii="Times New Roman-Normal-1255;Times New Roman" w:hAnsi="Times New Roman-Normal-1255;Times New Roman"/>
          <w:rtl w:val="true"/>
        </w:rPr>
        <w:t>ש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ושב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Fonts w:ascii="Times New Roman-Normal-1255;Times New Roman" w:hAnsi="Times New Roman-Normal-1255;Times New Roman"/>
          <w:rtl w:val="true"/>
        </w:rPr>
        <w:t>לסורו</w:t>
      </w:r>
      <w:r>
        <w:rPr>
          <w:rFonts w:ascii="Times New Roman-Normal-1255;Times New Roman" w:hAnsi="Times New Roman-Normal-1255;Times New Roman"/>
          <w:rtl w:val="true"/>
        </w:rPr>
        <w:t>.</w:t>
      </w:r>
    </w:p>
    <w:p>
      <w:pPr>
        <w:pStyle w:val="Normal"/>
        <w:autoSpaceDE w:val="false"/>
        <w:bidi w:val="0"/>
        <w:spacing w:lineRule="auto" w: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 ששקלתי מכלול הנסיבות ובשים לב לגיליון רישום פלילי של הנאשם ממנו עולה  כי ל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בגין 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סמים ואלימות שביצע בין השנים </w:t>
      </w:r>
      <w:r>
        <w:rPr>
          <w:rFonts w:cs="Arial" w:ascii="Arial" w:hAnsi="Arial"/>
        </w:rPr>
        <w:t>1991</w:t>
      </w:r>
      <w:r>
        <w:rPr>
          <w:rFonts w:cs="Arial" w:ascii="Arial" w:hAnsi="Arial"/>
          <w:rtl w:val="true"/>
        </w:rPr>
        <w:t xml:space="preserve"> -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ביצוע העבירות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שנגזר לשותפו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כי הנאשם עובר הליך שיקומי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החלטתי לגזור עליו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hanging="720" w:start="1440" w:end="0"/>
        <w:jc w:val="both"/>
        <w:rPr>
          <w:sz w:val="28"/>
          <w:szCs w:val="28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שלוש שנים לבל  ישוב </w:t>
      </w:r>
      <w:bookmarkStart w:id="14" w:name="TQL03"/>
      <w:r>
        <w:rPr>
          <w:color w:val="000000"/>
          <w:rtl w:val="true"/>
        </w:rPr>
        <w:t>ויעבור העבירות</w:t>
      </w:r>
      <w:bookmarkEnd w:id="14"/>
      <w:r>
        <w:rPr>
          <w:rtl w:val="true"/>
        </w:rPr>
        <w:t xml:space="preserve"> בהן הורשע בתיק זה ויורשע בהם בתקופת התנאי ובין 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פיצוי לכל אחד מהמתלוננים בסך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>כל אחד</w:t>
      </w:r>
      <w:r>
        <w:rPr>
          <w:rtl w:val="true"/>
        </w:rPr>
        <w:t xml:space="preserve">, </w:t>
      </w:r>
      <w:r>
        <w:rPr>
          <w:rtl w:val="true"/>
        </w:rPr>
        <w:t xml:space="preserve">שישולם תוך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 מיום שחרורו ממאסרו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 xml:space="preserve">ניתן בזאת צו למוצגים 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המוצגים יושמדו</w:t>
      </w:r>
      <w:r>
        <w:rPr>
          <w:rtl w:val="true"/>
        </w:rPr>
        <w:t>.</w:t>
      </w:r>
    </w:p>
    <w:p>
      <w:pPr>
        <w:pStyle w:val="NormalWeb"/>
        <w:bidi w:val="1"/>
        <w:spacing w:before="0" w:after="0"/>
        <w:ind w:end="0"/>
        <w:jc w:val="start"/>
        <w:rPr>
          <w:rFonts w:ascii="Times New Roman" w:hAnsi="Times New Roman" w:cs="David"/>
          <w:lang w:eastAsia="en-US"/>
        </w:rPr>
      </w:pPr>
      <w:r>
        <w:rPr>
          <w:rFonts w:cs="David" w:ascii="Times New Roman" w:hAnsi="Times New Roman"/>
          <w:rtl w:val="true"/>
          <w:lang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הודעה והוסברה 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המחוזי בחיפה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מבקשת עיכוב ביצוע לצורך שקילת הגשת 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מתנגדים</w:t>
      </w:r>
      <w:r>
        <w:rPr>
          <w:rtl w:val="true"/>
        </w:rPr>
        <w:t xml:space="preserve">. </w:t>
      </w:r>
      <w:r>
        <w:rPr>
          <w:rtl w:val="true"/>
        </w:rPr>
        <w:t>הנאשם צריך היה להיערך לכך</w:t>
      </w:r>
      <w:r>
        <w:rPr>
          <w:rtl w:val="true"/>
        </w:rPr>
        <w:t xml:space="preserve">, </w:t>
      </w:r>
      <w:r>
        <w:rPr>
          <w:rtl w:val="true"/>
        </w:rPr>
        <w:t>נסיבות של הגשת ערעור אינה סיבה לעיכוב ביצוע</w:t>
      </w:r>
      <w:r>
        <w:rPr>
          <w:rtl w:val="true"/>
        </w:rPr>
        <w:t xml:space="preserve">. </w:t>
      </w:r>
      <w:r>
        <w:rPr>
          <w:rtl w:val="true"/>
        </w:rPr>
        <w:t xml:space="preserve">בנסיבות </w:t>
      </w:r>
      <w:r>
        <w:rPr>
          <w:rtl w:val="true"/>
        </w:rPr>
        <w:t>–</w:t>
      </w:r>
      <w:r>
        <w:rPr>
          <w:rtl w:val="true"/>
        </w:rPr>
        <w:t xml:space="preserve"> אבקש כי המאסר יכנס לתוקף באופן 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&lt;</w:t>
      </w:r>
      <w:r>
        <w:rPr/>
        <w:t>#7#</w:t>
      </w:r>
      <w:r>
        <w:rPr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כלל הוא שכאשר בימ</w:t>
      </w:r>
      <w:r>
        <w:rPr>
          <w:rtl w:val="true"/>
        </w:rPr>
        <w:t>"</w:t>
      </w:r>
      <w:r>
        <w:rPr>
          <w:rtl w:val="true"/>
        </w:rPr>
        <w:t>ש גוזר לנאשם מאסר לריצוי בפועל</w:t>
      </w:r>
      <w:r>
        <w:rPr>
          <w:rtl w:val="true"/>
        </w:rPr>
        <w:t xml:space="preserve">, </w:t>
      </w:r>
      <w:r>
        <w:rPr>
          <w:rtl w:val="true"/>
        </w:rPr>
        <w:t>הנאשם יתחיל לרצות אותו מיד עם מתן גזר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ראיתי להיעתר לבקשת הסנגורית לדחיית ריצוי עונש המאסר לריצוי בפועל</w:t>
      </w:r>
      <w:r>
        <w:rPr>
          <w:rtl w:val="true"/>
        </w:rPr>
        <w:t xml:space="preserve">, </w:t>
      </w:r>
      <w:r>
        <w:rPr>
          <w:rtl w:val="true"/>
        </w:rPr>
        <w:t>ולפיכך אני קובע כי הנאשם יתחיל לרצות את עונש המאסר לריצוי בפועל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24/3/11</w:t>
      </w:r>
      <w:r>
        <w:rPr>
          <w:rtl w:val="true"/>
        </w:rPr>
        <w:t xml:space="preserve"> </w:t>
      </w:r>
      <w:r>
        <w:rPr>
          <w:rtl w:val="true"/>
        </w:rPr>
        <w:t xml:space="preserve">והוא יתייצב בתחנת משטרת חדרה 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לריצוי 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&lt;</w:t>
      </w:r>
      <w:r>
        <w:rPr/>
        <w:t>#8#</w:t>
      </w:r>
      <w:r>
        <w:rPr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משה גינות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צהלה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Times New Roman-Normal-1255">
    <w:altName w:val="Times New Roman"/>
    <w:charset w:val="b1" w:characterSet="windows-1255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1035-06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תביעות חדרה 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אילן דבוש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qFormat/>
    <w:pPr>
      <w:bidi w:val="0"/>
      <w:spacing w:before="280" w:after="280"/>
    </w:pPr>
    <w:rPr>
      <w:rFonts w:ascii="Arial Unicode MS" w:hAnsi="Arial Unicode MS" w:eastAsia="Times New Roman" w:cs="Times New Roman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Times New Roman" w:cs="FrankRuehl"/>
      <w:spacing w:val="10"/>
      <w:sz w:val="22"/>
      <w:szCs w:val="28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Times New Roman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4" TargetMode="External"/><Relationship Id="rId4" Type="http://schemas.openxmlformats.org/officeDocument/2006/relationships/hyperlink" Target="http://www.nevo.co.il/law/70301/406.b" TargetMode="External"/><Relationship Id="rId5" Type="http://schemas.openxmlformats.org/officeDocument/2006/relationships/hyperlink" Target="http://www.nevo.co.il/law/70301/406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case/17924089" TargetMode="External"/><Relationship Id="rId9" Type="http://schemas.openxmlformats.org/officeDocument/2006/relationships/hyperlink" Target="http://www.nevo.co.il/case/5786637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2016-05-10T15:44:00Z</dcterms:created>
  <dc:creator> </dc:creator>
  <dc:description/>
  <cp:keywords/>
  <dc:language>en-IL</dc:language>
  <cp:lastModifiedBy>yafit</cp:lastModifiedBy>
  <dcterms:modified xsi:type="dcterms:W3CDTF">2016-05-10T15:44:00Z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תביעות חדרה -משטרת ישראל</vt:lpwstr>
  </property>
  <property fmtid="{D5CDD505-2E9C-101B-9397-08002B2CF9AE}" pid="3" name="APPELLEE">
    <vt:lpwstr>אילן דבוש</vt:lpwstr>
  </property>
  <property fmtid="{D5CDD505-2E9C-101B-9397-08002B2CF9AE}" pid="4" name="CASESLISTTMP1">
    <vt:lpwstr>17924089;5786637</vt:lpwstr>
  </property>
  <property fmtid="{D5CDD505-2E9C-101B-9397-08002B2CF9AE}" pid="5" name="CITY">
    <vt:lpwstr>חד'</vt:lpwstr>
  </property>
  <property fmtid="{D5CDD505-2E9C-101B-9397-08002B2CF9AE}" pid="6" name="DATE">
    <vt:lpwstr>20110314</vt:lpwstr>
  </property>
  <property fmtid="{D5CDD505-2E9C-101B-9397-08002B2CF9AE}" pid="7" name="ISABSTRACT">
    <vt:lpwstr>Y</vt:lpwstr>
  </property>
  <property fmtid="{D5CDD505-2E9C-101B-9397-08002B2CF9AE}" pid="8" name="JUDGE">
    <vt:lpwstr>משה גינות</vt:lpwstr>
  </property>
  <property fmtid="{D5CDD505-2E9C-101B-9397-08002B2CF9AE}" pid="9" name="LAWLISTTMP1">
    <vt:lpwstr>70301/406.b;384</vt:lpwstr>
  </property>
  <property fmtid="{D5CDD505-2E9C-101B-9397-08002B2CF9AE}" pid="10" name="LAWYER">
    <vt:lpwstr>דנית אברג'יל</vt:lpwstr>
  </property>
  <property fmtid="{D5CDD505-2E9C-101B-9397-08002B2CF9AE}" pid="11" name="NEWPARTA">
    <vt:lpwstr>1035</vt:lpwstr>
  </property>
  <property fmtid="{D5CDD505-2E9C-101B-9397-08002B2CF9AE}" pid="12" name="NEWPARTB">
    <vt:lpwstr/>
  </property>
  <property fmtid="{D5CDD505-2E9C-101B-9397-08002B2CF9AE}" pid="13" name="NEWPARTC">
    <vt:lpwstr>06</vt:lpwstr>
  </property>
  <property fmtid="{D5CDD505-2E9C-101B-9397-08002B2CF9AE}" pid="14" name="NEWPROC">
    <vt:lpwstr>תפ</vt:lpwstr>
  </property>
  <property fmtid="{D5CDD505-2E9C-101B-9397-08002B2CF9AE}" pid="15" name="PROCNUM">
    <vt:lpwstr>1035</vt:lpwstr>
  </property>
  <property fmtid="{D5CDD505-2E9C-101B-9397-08002B2CF9AE}" pid="16" name="PROCYEAR">
    <vt:lpwstr>06</vt:lpwstr>
  </property>
  <property fmtid="{D5CDD505-2E9C-101B-9397-08002B2CF9AE}" pid="17" name="PSAKDIN">
    <vt:lpwstr>גזר-דין</vt:lpwstr>
  </property>
  <property fmtid="{D5CDD505-2E9C-101B-9397-08002B2CF9AE}" pid="18" name="RemarkFileName">
    <vt:lpwstr>shalom sh 06 1035 453 htm</vt:lpwstr>
  </property>
  <property fmtid="{D5CDD505-2E9C-101B-9397-08002B2CF9AE}" pid="19" name="TYPE">
    <vt:lpwstr>3</vt:lpwstr>
  </property>
  <property fmtid="{D5CDD505-2E9C-101B-9397-08002B2CF9AE}" pid="20" name="TYPE_ABS_DATE">
    <vt:lpwstr>380020110314</vt:lpwstr>
  </property>
  <property fmtid="{D5CDD505-2E9C-101B-9397-08002B2CF9AE}" pid="21" name="TYPE_N_DATE">
    <vt:lpwstr>38020110314</vt:lpwstr>
  </property>
  <property fmtid="{D5CDD505-2E9C-101B-9397-08002B2CF9AE}" pid="22" name="WORDNUMPAGES">
    <vt:lpwstr>5</vt:lpwstr>
  </property>
</Properties>
</file>