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664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10374-07-22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אלקרעאן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אורלי פיתוסי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מהאר אלקרעאן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בעצמו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ויקטור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5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u w:val="none"/>
          </w:rPr>
          <w:t>43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הודאתו בכתב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נשיאה והובלה 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 xml:space="preserve">עבירה לפי סעיף </w:t>
      </w:r>
      <w:hyperlink r:id="rId7"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</w:t>
      </w:r>
      <w:r>
        <w:rPr>
          <w:rFonts w:cs="David" w:ascii="David" w:hAnsi="David"/>
          <w:rtl w:val="true"/>
        </w:rPr>
        <w:t xml:space="preserve">+ </w:t>
      </w:r>
      <w:r>
        <w:rPr>
          <w:rFonts w:ascii="David" w:hAnsi="David"/>
          <w:rtl w:val="true"/>
        </w:rPr>
        <w:t>סיפא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כתב האישום והסדר הטיעון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15.06.22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נשא והוביל נשק – רובה סער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יחד עם מחסנית תואמת בתוכו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השייך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ברכב מסוג סקודה אוקטבה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עת הוביל הנאשם את הנשק ברכב בפזורת כסייפה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נחסם הנאשם על ידי ניידת 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בבריחה עם רכבו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בהמשך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הנאשם עם רכבו לעבר עפר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הוציא את הנשק וזרק אותו מחוץ לרכב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מיד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 הנאשם חזרה לתוך הרכב וניסה להמשיך בבריחתו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ללא הצלחה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 אז יצא הנאשם מהרכב והחל במנוסה רגלית עד שנעצר על ידי השוטרים במקום אשר גם תפסו את הנשק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הודה בכתב האישום המתוקן במסגרת הסדר טיעון אשר לא כלל הסכמה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ולבקשת ההגנה התבקש שירות המבחן להגיש תסקיר לעונש טרם גזירת עונשו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שירות המבחן בתסקירו מיום </w:t>
      </w:r>
      <w:r>
        <w:rPr>
          <w:rFonts w:cs="David" w:ascii="David" w:hAnsi="David"/>
        </w:rPr>
        <w:t>12.11.23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פירט את הרקע האישי והמשפחתי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את הסיכון לעבריינות חוזרת והסיכוי לשיקום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והמליץ בסופו של דבר על ענישה מוחשית בדמות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בדיון שהתקיים ביום </w:t>
      </w:r>
      <w:r>
        <w:rPr>
          <w:rFonts w:cs="David" w:ascii="David" w:hAnsi="David"/>
        </w:rPr>
        <w:t>21.01.24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ובהמשך להסדר הטיעון ולתסקיר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הודיעו באי כוח הצדדים כי הגיעו להסכמה עונשית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במסגרתה עותרים כי בית המשפט יגזור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מאסר על תנאי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כספי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פסילה על תנאי לשיקול דעת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טיעוני הצדדים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  <w:r>
        <w:rPr>
          <w:rFonts w:ascii="David" w:hAnsi="David"/>
          <w:rtl w:val="true"/>
        </w:rPr>
        <w:t xml:space="preserve"> ביקשה לכבד את ההסכמה העונשית שהתגבשה בין הצדדים לאחר מו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והליך גישור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והוסיפה כי ההסכמה הנה ראויה ואינה חורגת ממדיניות הענישה הנוהגת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הנאשם</w:t>
      </w:r>
      <w:r>
        <w:rPr>
          <w:rFonts w:ascii="David" w:hAnsi="David"/>
          <w:rtl w:val="true"/>
        </w:rPr>
        <w:t xml:space="preserve"> הצטרף לבקשת המאשימה לכבד את ההסכמה העונשית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והוסיף כי הנאשם הנו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ואב לשני ילדים שזו לו המעורבות היחידה בפלילים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אמ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תית וחסך בזמנו היקר של בית המשפט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אמר שהוא מצטער וכי בייש את הוריו במעשיו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דיון והכרעה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והורשע על פי הודאתו בעבירות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לאחר שנשא והוביל נשק מסוג </w:t>
      </w:r>
      <w:r>
        <w:rPr>
          <w:rFonts w:cs="David" w:ascii="David" w:hAnsi="David"/>
        </w:rPr>
        <w:t>M-16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ומחסנית תוך שהוא מסתייע ברכבו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עבירות הנשק הופכות את הציבור כולו לקורבן פוטנציאלי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להחמיר בענישה ולתרום את חלקו במיגור התופעה הקשה שהפכה למכת מדינה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לעניין מגמת ההחמרה בפסיקה ראה </w:t>
      </w:r>
      <w:hyperlink r:id="rId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18.7.2019</w:t>
      </w:r>
      <w:r>
        <w:rPr>
          <w:rFonts w:cs="David" w:ascii="David" w:hAnsi="David"/>
          <w:rtl w:val="true"/>
        </w:rPr>
        <w:t xml:space="preserve">): </w:t>
      </w:r>
    </w:p>
    <w:p>
      <w:pPr>
        <w:pStyle w:val="Normal"/>
        <w:spacing w:lineRule="auto" w:line="360"/>
        <w:ind w:hanging="720" w:start="1785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785" w:end="1134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בית משפט זה עמד בשורה ארוכה של פסקי דין על חומרתן הרבה של עבירות הנשק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הדבר חמור שבעתיים במציאות הישראלית שבה נשק בלתי חוקי עשוי לשמש הן לפעילות חבלנית עויינת על רקע ביטחוני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הן לפעילות עבריינות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לפיכך קיימת בפסיקה מגמת החמרה ברמת הענישה של המעורבים בעבירות נשק תוך מתן ביטוי עונשי הולם לסכנה הנשקפת מהם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וזאת במטרה להרתיע את היחיד והרבים גם יחד מפני ביצוען</w:t>
      </w:r>
      <w:r>
        <w:rPr>
          <w:rFonts w:cs="David" w:ascii="David" w:hAnsi="David"/>
          <w:b/>
          <w:bCs/>
          <w:rtl w:val="true"/>
        </w:rPr>
        <w:t>..."</w:t>
      </w:r>
    </w:p>
    <w:p>
      <w:pPr>
        <w:pStyle w:val="Normal"/>
        <w:spacing w:lineRule="auto" w:line="360"/>
        <w:ind w:hanging="720" w:start="720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פגע באופן משמעותי בערכים המוגנים של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שלמות הגוף וביטחון הציבור ושלוותו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נסיבות ביצוע העבירה בענייננו חמורות וזאת בשים לב לסוג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נשק ארוך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ולפוטנציאל הסכנה הטמון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ייחסתי חומרה יתרה לעובדה כי עסקינן בנשק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הוצאת נשק מרשות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יכול ותפגע בכשירותו בשגרה ובחירום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חומרה נוספת נלמדת מהעובדה כי הנאשם ניסה לברוח לאחר שרכבו נחסם על ידי המשטרה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לקולת עונשו של הנאשם התחשבתי בהודאתו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הנקי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בחיסכון בזמנו של בית המשפט ובעובדה כי הנשק נתפס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ששמעתי טיעוני באי כוח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מדיניות בתי המשפט הנוהגת בכיבוד הסדרי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עברו הנקי והעו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דה כי הנשק נתפס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לחרוג מהסכמת הצדדים לעונש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למשך שלוש 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שלא יעבור עבירה בנשק 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חלופותיו השונות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15,000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הקנס ישולם מתוך הפיקדון שהפקיד הנאשם בתיק 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10296-07-22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פסילה על תנאי – מורה על פסילתו של הנאשם מלקבל או מלהחזיק רישיון נהיגה וזאת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יישא בעונש זה אם בתקופה של שנתיים מיום שחרורו יעבור על עבירה בנשק לפי </w:t>
      </w:r>
      <w:hyperlink r:id="rId1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על חלופותיו השונות או על עבירה לפי </w:t>
      </w:r>
      <w:hyperlink r:id="rId14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בהתאם להסכמת הצדדים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יתחיל בריצוי עונשו ביום </w:t>
      </w:r>
      <w:r>
        <w:rPr>
          <w:rFonts w:cs="David" w:ascii="David" w:hAnsi="David"/>
        </w:rPr>
        <w:t>15.04.24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ויתייצב לשם כך לא יאוחר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מהשעה </w:t>
      </w:r>
      <w:r>
        <w:rPr>
          <w:rFonts w:cs="David" w:ascii="David" w:hAnsi="David"/>
        </w:rPr>
        <w:t>9:00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במדור קליטה בכלא אוהלי קידר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rtl w:val="true"/>
        </w:rPr>
        <w:t>התנאים שנקבעו לנאשם בתיק</w:t>
      </w:r>
      <w:r>
        <w:rPr>
          <w:rFonts w:ascii="David" w:hAnsi="David"/>
          <w:rtl w:val="true"/>
        </w:rPr>
        <w:t xml:space="preserve"> 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10296-07-22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יישארו על כנם עד להתייצבותו לריצוי עונשו</w:t>
      </w:r>
      <w:r>
        <w:rPr>
          <w:rFonts w:cs="David" w:ascii="David" w:hAnsi="David"/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ויתרת הפיקדון לאחר תשלום הקנס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סך של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₪) </w:t>
      </w:r>
      <w:r>
        <w:rPr>
          <w:rFonts w:ascii="David" w:hAnsi="David"/>
          <w:rtl w:val="true"/>
        </w:rPr>
        <w:t>תשמש להבטחת התייצבותו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  <w:r>
        <w:rPr>
          <w:rFonts w:ascii="David" w:hAnsi="David"/>
          <w:b/>
          <w:b/>
          <w:bCs/>
          <w:rtl w:val="true"/>
        </w:rPr>
        <w:t xml:space="preserve">זכות ערעור לבית המשפט העליון תוך </w:t>
      </w:r>
      <w:r>
        <w:rPr>
          <w:rFonts w:cs="David" w:ascii="David" w:hAnsi="David"/>
          <w:b/>
          <w:bCs/>
        </w:rPr>
        <w:t>45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הנ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10374-07-22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מהאר אלקרעאן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4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5612982" TargetMode="External"/><Relationship Id="rId10" Type="http://schemas.openxmlformats.org/officeDocument/2006/relationships/hyperlink" Target="http://www.nevo.co.il/law/70301/1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2024-01-25T13:10:00Z</dcterms:created>
  <dc:creator> </dc:creator>
  <dc:description/>
  <cp:keywords/>
  <dc:language>en-IL</dc:language>
  <cp:lastModifiedBy>h1</cp:lastModifiedBy>
  <dcterms:modified xsi:type="dcterms:W3CDTF">2024-01-25T13:10:00Z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מהאר אלקרעאן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25612982</vt:lpwstr>
  </property>
  <property fmtid="{D5CDD505-2E9C-101B-9397-08002B2CF9AE}" pid="9" name="CITY">
    <vt:lpwstr>ב"ש</vt:lpwstr>
  </property>
  <property fmtid="{D5CDD505-2E9C-101B-9397-08002B2CF9AE}" pid="10" name="DATE">
    <vt:lpwstr>20240122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70301/144.b;144:2</vt:lpwstr>
  </property>
  <property fmtid="{D5CDD505-2E9C-101B-9397-08002B2CF9AE}" pid="15" name="LAWLISTTMP2">
    <vt:lpwstr>5227/043</vt:lpwstr>
  </property>
  <property fmtid="{D5CDD505-2E9C-101B-9397-08002B2CF9AE}" pid="16" name="LAWYER">
    <vt:lpwstr>אורלי פיתוסי;ויקטור אוזן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10374</vt:lpwstr>
  </property>
  <property fmtid="{D5CDD505-2E9C-101B-9397-08002B2CF9AE}" pid="23" name="NEWPARTB">
    <vt:lpwstr>07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390020240122</vt:lpwstr>
  </property>
  <property fmtid="{D5CDD505-2E9C-101B-9397-08002B2CF9AE}" pid="35" name="TYPE_N_DATE">
    <vt:lpwstr>39020240122</vt:lpwstr>
  </property>
  <property fmtid="{D5CDD505-2E9C-101B-9397-08002B2CF9AE}" pid="36" name="VOLUME">
    <vt:lpwstr/>
  </property>
  <property fmtid="{D5CDD505-2E9C-101B-9397-08002B2CF9AE}" pid="37" name="WORDNUMPAGES">
    <vt:lpwstr>4</vt:lpwstr>
  </property>
</Properties>
</file>