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10376-03-10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דאחל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ויטלם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מוסא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דאחל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>.</w:t>
        <w:tab/>
      </w:r>
      <w:bookmarkStart w:id="6" w:name="ABSTRACT_START"/>
      <w:bookmarkEnd w:id="6"/>
      <w:r>
        <w:rPr>
          <w:rFonts w:ascii="Tahoma" w:hAnsi="Tahoma" w:cs="Tahoma"/>
          <w:rtl w:val="true"/>
        </w:rPr>
        <w:t>הנאשם הודה בכתב האישום והורשע בעבירות המפורטות בו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17.11.2008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בביקורת במקרקעין הידועים כגוש </w:t>
      </w:r>
      <w:r>
        <w:rPr>
          <w:rFonts w:cs="Tahoma" w:ascii="Tahoma" w:hAnsi="Tahoma"/>
        </w:rPr>
        <w:t>4450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חלקה </w:t>
      </w:r>
      <w:r>
        <w:rPr>
          <w:rFonts w:cs="Tahoma" w:ascii="Tahoma" w:hAnsi="Tahoma"/>
        </w:rPr>
        <w:t>194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ברח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 xml:space="preserve">משה רבנו </w:t>
      </w:r>
      <w:r>
        <w:rPr>
          <w:rFonts w:cs="Tahoma" w:ascii="Tahoma" w:hAnsi="Tahoma"/>
        </w:rPr>
        <w:t>24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ברמלה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הנאשם ביצע בניה ללא היתר על קרקע המיועדת למגורים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בנה תוספת בנייה בשטח של כ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</w:rPr>
        <w:t>39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מ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י הגבהת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קירות  קיימים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הוספת קירוי מברזל ופתיחת חלון בצידו המערבי  של הבית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המקרקעין נשוא כתב האישום הינן במרחב התכנון המקומי של העיר רמלה והעבודות הנ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ל טעונות קבלת היתר בנייה מהוועדה המקומית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 xml:space="preserve">הנאשם הודה בכתב האישום ביום </w:t>
      </w: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יולי </w:t>
      </w:r>
      <w:r>
        <w:rPr>
          <w:rFonts w:cs="Tahoma" w:ascii="Tahoma" w:hAnsi="Tahoma"/>
        </w:rPr>
        <w:t>2010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ומועד הטיעונים לעונש נדחה מעת על מנת לאפשר לנאשם לנסות להכשיר את הבניה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הטיעונים לעונש התקיימו ב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18.3.2012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ובסופו של דבר הבניה נשוא כתב האישום לא הוכשרה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3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המאשימה טענה שמדובר בבניה בהיקף משמעותי וכי קודם להגשת כתב האישום ניתנה לנאשם האפשרות להכשיר את הבניה על ידי שליחת התראה בטרם הגשת כתב האישום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בנוסף ניתנה אורכה משמעותית לנאשם לאחר הגשת כתב האישום להסדיר את הבניה ולקבל רישיון בניה כדין בגינה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אך הדבר לא נעשה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המאשימה ביקשה להשית על הנאשם קנס משמעותי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מתן צו הריסה כנגד הבניה וכן חיובו בתשלום אגרת הבניה בסך של </w:t>
      </w:r>
      <w:r>
        <w:rPr>
          <w:rFonts w:cs="Tahoma" w:ascii="Tahoma" w:hAnsi="Tahoma"/>
        </w:rPr>
        <w:t>2,300</w:t>
      </w:r>
      <w:r>
        <w:rPr>
          <w:rFonts w:cs="Tahoma" w:ascii="Tahoma" w:hAnsi="Tahoma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הנאשם טען כי הנאשם הינו אדם נשוי ואב לשבעה ילדים וכי תוספת הבנייה בבית מגוריו בוצעה מכורח נסיבות משפחתו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שכיר המשתכר סכום של </w:t>
      </w:r>
      <w:r>
        <w:rPr>
          <w:rFonts w:cs="Tahoma" w:ascii="Tahoma" w:hAnsi="Tahoma"/>
        </w:rPr>
        <w:t>5,000</w:t>
      </w:r>
      <w:r>
        <w:rPr>
          <w:rFonts w:cs="Tahoma" w:ascii="Tahoma" w:hAnsi="Tahoma"/>
          <w:rtl w:val="true"/>
        </w:rPr>
        <w:t xml:space="preserve"> ₪ </w:t>
      </w:r>
      <w:r>
        <w:rPr>
          <w:rFonts w:ascii="Tahoma" w:hAnsi="Tahoma" w:cs="Tahoma"/>
          <w:rtl w:val="true"/>
        </w:rPr>
        <w:t>בחודש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הסיבה שהנאשם לא פעל להסדיר את הרישוי נעוצה בבעיות כלכליות 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שכן לא הצליח לגייס את הסכום הנדרש להכשרת הבניה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כמו 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הנאשם חויב בגין תוספת הארנונה בגין הבנייה הלא חוקית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החל ממועד ביקור הפקח בנכס ואילך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5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לנאשם שבפני ניתנה הזדמנות להכשיר את הבניה המפורטת בכתב האישום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ונראה כי המאשימה נקטה באורך רוח בעניינו של הנאשם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בסופו של יום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הבניה לא הוכשרה למרות דחיות רבות של הדיונים בתיק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בפסיקה נקבע שעל בתי המשפט להכביד את ידם בנושאים הנוגעים לבניה לא חוקית על ידי ענישה מחמירה </w:t>
      </w:r>
      <w:r>
        <w:rPr>
          <w:rFonts w:cs="Tahoma" w:ascii="Tahoma" w:hAnsi="Tahoma"/>
          <w:rtl w:val="true"/>
        </w:rPr>
        <w:t>(</w:t>
      </w:r>
      <w:hyperlink r:id="rId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רע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8482/10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b/>
          <w:b/>
          <w:bCs/>
          <w:rtl w:val="true"/>
        </w:rPr>
        <w:t>חלאילה נ</w:t>
      </w:r>
      <w:r>
        <w:rPr>
          <w:rFonts w:cs="Tahoma" w:ascii="Tahoma" w:hAnsi="Tahoma"/>
          <w:b/>
          <w:bCs/>
          <w:rtl w:val="true"/>
        </w:rPr>
        <w:t xml:space="preserve">' </w:t>
      </w:r>
      <w:r>
        <w:rPr>
          <w:rFonts w:ascii="Tahoma" w:hAnsi="Tahoma" w:cs="Tahoma"/>
          <w:b/>
          <w:b/>
          <w:bCs/>
          <w:rtl w:val="true"/>
        </w:rPr>
        <w:t>מדינת ישראל</w:t>
      </w:r>
      <w:r>
        <w:rPr>
          <w:rFonts w:cs="Tahoma" w:ascii="Tahoma" w:hAnsi="Tahoma"/>
          <w:b/>
          <w:bCs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פורסם ב</w:t>
      </w:r>
      <w:r>
        <w:rPr>
          <w:rFonts w:cs="Tahoma" w:ascii="Tahoma" w:hAnsi="Tahoma"/>
          <w:rtl w:val="true"/>
        </w:rPr>
        <w:t>- "</w:t>
      </w:r>
      <w:r>
        <w:rPr>
          <w:rFonts w:ascii="Tahoma" w:hAnsi="Tahoma" w:cs="Tahoma"/>
          <w:rtl w:val="true"/>
        </w:rPr>
        <w:t>נבו</w:t>
      </w:r>
      <w:r>
        <w:rPr>
          <w:rFonts w:cs="Tahoma" w:ascii="Tahoma" w:hAnsi="Tahoma"/>
          <w:rtl w:val="true"/>
        </w:rPr>
        <w:t xml:space="preserve">", </w:t>
      </w:r>
      <w:r>
        <w:rPr>
          <w:rFonts w:ascii="Tahoma" w:hAnsi="Tahoma" w:cs="Tahoma"/>
          <w:rtl w:val="true"/>
        </w:rPr>
        <w:t xml:space="preserve">ניתן ביום </w:t>
      </w:r>
      <w:r>
        <w:rPr>
          <w:rFonts w:cs="Tahoma" w:ascii="Tahoma" w:hAnsi="Tahoma"/>
        </w:rPr>
        <w:t>29.11.10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פסקה ז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להחלטת כבוד השופט רובינשטיין</w:t>
      </w:r>
      <w:r>
        <w:rPr>
          <w:rFonts w:cs="Tahoma" w:ascii="Tahoma" w:hAnsi="Tahoma"/>
          <w:rtl w:val="true"/>
        </w:rPr>
        <w:t xml:space="preserve">). </w:t>
      </w:r>
      <w:r>
        <w:rPr>
          <w:rFonts w:ascii="Tahoma" w:hAnsi="Tahoma" w:cs="Tahoma"/>
          <w:rtl w:val="true"/>
        </w:rPr>
        <w:t>לקחתי בחשבון את הודייתו של הנאשם בכתב האישום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מצבו הכלכלי וכן היותו נשוי ואב לילדים וכי הבניה נשוא כתב האישום משרתת את בני ביתו למטרת מגורים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לאחר ששקלתי את חומרת העבירה מחד ונסיבותיו האישיות של הנאשם מאידך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אני גוזר על הנאשם את העונשים הבאים</w:t>
      </w:r>
      <w:r>
        <w:rPr>
          <w:rFonts w:cs="Tahoma" w:ascii="Tahoma" w:hAnsi="Tahoma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א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 xml:space="preserve">הנאשם ישלם קנס בסך של </w:t>
      </w:r>
      <w:r>
        <w:rPr>
          <w:rFonts w:cs="Tahoma" w:ascii="Tahoma" w:hAnsi="Tahoma"/>
        </w:rPr>
        <w:t>9,000</w:t>
      </w:r>
      <w:r>
        <w:rPr>
          <w:rFonts w:cs="Tahoma" w:ascii="Tahoma" w:hAnsi="Tahoma"/>
          <w:rtl w:val="true"/>
        </w:rPr>
        <w:t xml:space="preserve"> ₪, </w:t>
      </w:r>
      <w:r>
        <w:rPr>
          <w:rFonts w:ascii="Tahoma" w:hAnsi="Tahoma" w:cs="Tahoma"/>
          <w:rtl w:val="true"/>
        </w:rPr>
        <w:t xml:space="preserve">או </w:t>
      </w:r>
      <w:r>
        <w:rPr>
          <w:rFonts w:cs="Tahoma" w:ascii="Tahoma" w:hAnsi="Tahoma"/>
        </w:rPr>
        <w:t>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ימי מאסר תמורתו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הקנס ישולם ב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10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תשלומים חודשיים שווים ורצופים כאשר הראשון שבהם עד ליום </w:t>
      </w:r>
      <w:r>
        <w:rPr>
          <w:rFonts w:cs="Tahoma" w:ascii="Tahoma" w:hAnsi="Tahoma"/>
        </w:rPr>
        <w:t>1.5.2012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והיתרה ב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לכל חודש שלאחריו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אי עמידה באחד התשלומים תעמיד את מלוא סכום הקנס לפרעון מיידי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 xml:space="preserve">הנאשם יחתום על התחייבות כספית בסך של </w:t>
      </w:r>
      <w:r>
        <w:rPr>
          <w:rFonts w:cs="Tahoma" w:ascii="Tahoma" w:hAnsi="Tahoma"/>
        </w:rPr>
        <w:t>20,000</w:t>
      </w:r>
      <w:r>
        <w:rPr>
          <w:rFonts w:cs="Tahoma" w:ascii="Tahoma" w:hAnsi="Tahoma"/>
          <w:rtl w:val="true"/>
        </w:rPr>
        <w:t xml:space="preserve"> ₪ </w:t>
      </w:r>
      <w:r>
        <w:rPr>
          <w:rFonts w:ascii="Tahoma" w:hAnsi="Tahoma" w:cs="Tahoma"/>
          <w:rtl w:val="true"/>
        </w:rPr>
        <w:t xml:space="preserve">להימנע במשך שנתיים מהיום מביצוע עבירה לפי </w:t>
      </w:r>
      <w:hyperlink r:id="rId3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התכנון והבניה</w:t>
        </w:r>
      </w:hyperlink>
      <w:r>
        <w:rPr>
          <w:rFonts w:ascii="Tahoma" w:hAnsi="Tahoma" w:cs="Tahoma"/>
          <w:rtl w:val="true"/>
        </w:rPr>
        <w:t xml:space="preserve"> תשכ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ה – </w:t>
      </w:r>
      <w:r>
        <w:rPr>
          <w:rFonts w:cs="Tahoma" w:ascii="Tahoma" w:hAnsi="Tahoma"/>
        </w:rPr>
        <w:t>1965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והתקנות שלפיו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יחתום על ההתחייבות הכספית עוד היום במזכירות בית המשפט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היה וההתחייבות הכספית לא תיחתם הנאשם ייאסר למשך </w:t>
      </w:r>
      <w:r>
        <w:rPr>
          <w:rFonts w:cs="Tahoma" w:ascii="Tahoma" w:hAnsi="Tahoma"/>
        </w:rPr>
        <w:t>40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ימים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ג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ניתן בזאת צו הריסה כנגד הבניה נשוא כתב האישום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הצו ייכנס לתוקפו בתום 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מהיום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אלא אם עד למועד זה יהיה בידי הנאשם היתר בניה כדין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הצו יירשם בפנקסי המקרקעין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ד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 xml:space="preserve">הנאשם ישלם למאשימה אגרת בניה בסך של </w:t>
      </w:r>
      <w:r>
        <w:rPr>
          <w:rFonts w:cs="Tahoma" w:ascii="Tahoma" w:hAnsi="Tahoma"/>
        </w:rPr>
        <w:t>2,300</w:t>
      </w:r>
      <w:r>
        <w:rPr>
          <w:rFonts w:cs="Tahoma" w:ascii="Tahoma" w:hAnsi="Tahoma"/>
          <w:rtl w:val="true"/>
        </w:rPr>
        <w:t xml:space="preserve"> ₪, </w:t>
      </w:r>
      <w:r>
        <w:rPr>
          <w:rFonts w:ascii="Tahoma" w:hAnsi="Tahoma" w:cs="Tahoma"/>
          <w:rtl w:val="true"/>
        </w:rPr>
        <w:t xml:space="preserve">ואשר ישולם עד ליום </w:t>
      </w:r>
      <w:r>
        <w:rPr>
          <w:rFonts w:cs="Tahoma" w:ascii="Tahoma" w:hAnsi="Tahoma"/>
        </w:rPr>
        <w:t>1.7.2012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זכות ערעור תוך </w:t>
      </w:r>
      <w:r>
        <w:rPr>
          <w:rFonts w:cs="Tahoma" w:ascii="Tahoma" w:hAnsi="Tahoma"/>
        </w:rPr>
        <w:t>45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ימים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10376-03-10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מוסא אבו דאחל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12;&#1506;&#1508;%208482/10" TargetMode="External"/><Relationship Id="rId3" Type="http://schemas.openxmlformats.org/officeDocument/2006/relationships/hyperlink" Target="http://www.nevo.co.il/law_html/law01/044_001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2012-04-05T11:48:00Z</dcterms:created>
  <dc:creator> </dc:creator>
  <dc:description/>
  <cp:keywords/>
  <dc:language>en-IL</dc:language>
  <cp:lastModifiedBy>hofit</cp:lastModifiedBy>
  <dcterms:modified xsi:type="dcterms:W3CDTF">2012-04-05T11:48:00Z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מוסא אבו דאחל</vt:lpwstr>
  </property>
  <property fmtid="{D5CDD505-2E9C-101B-9397-08002B2CF9AE}" pid="4" name="CITY">
    <vt:lpwstr>רמ'</vt:lpwstr>
  </property>
  <property fmtid="{D5CDD505-2E9C-101B-9397-08002B2CF9AE}" pid="5" name="DATE">
    <vt:lpwstr>20120401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LAWYER">
    <vt:lpwstr>ויטלם;אבו עאמר</vt:lpwstr>
  </property>
  <property fmtid="{D5CDD505-2E9C-101B-9397-08002B2CF9AE}" pid="9" name="NEWPARTA">
    <vt:lpwstr>10376</vt:lpwstr>
  </property>
  <property fmtid="{D5CDD505-2E9C-101B-9397-08002B2CF9AE}" pid="10" name="NEWPARTB">
    <vt:lpwstr>03</vt:lpwstr>
  </property>
  <property fmtid="{D5CDD505-2E9C-101B-9397-08002B2CF9AE}" pid="11" name="NEWPARTC">
    <vt:lpwstr>10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380020120401</vt:lpwstr>
  </property>
  <property fmtid="{D5CDD505-2E9C-101B-9397-08002B2CF9AE}" pid="16" name="TYPE_N_DATE">
    <vt:lpwstr>38020120401</vt:lpwstr>
  </property>
  <property fmtid="{D5CDD505-2E9C-101B-9397-08002B2CF9AE}" pid="17" name="WORDNUMPAGES">
    <vt:lpwstr>3</vt:lpwstr>
  </property>
</Properties>
</file>