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1039-07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תחנת זבולון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רמה לאופר חסון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תחנת זבולון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אריה רוה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באמצעות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ירון קנטר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בעצמו ובאמצעות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גוטמן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לבימ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ש הוגש תסקיר שירות מבחן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פסק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שבפני הודה בכתב אישום מתוקן לפיו יוחסה לו עבירה של היזק לרכוש בזדון בכך שבתאריך </w:t>
      </w:r>
      <w:r>
        <w:rPr/>
        <w:t>27.7.07</w:t>
      </w:r>
      <w:r>
        <w:rPr>
          <w:rtl w:val="true"/>
        </w:rPr>
        <w:t xml:space="preserve"> </w:t>
      </w:r>
      <w:r>
        <w:rPr>
          <w:rtl w:val="true"/>
        </w:rPr>
        <w:t xml:space="preserve">בדירתו ובדירת המתלוננת </w:t>
      </w:r>
      <w:r>
        <w:rPr>
          <w:rtl w:val="true"/>
        </w:rPr>
        <w:t>–</w:t>
      </w:r>
      <w:r>
        <w:rPr>
          <w:rtl w:val="true"/>
        </w:rPr>
        <w:t xml:space="preserve"> בת זוגו </w:t>
      </w:r>
      <w:r>
        <w:rPr>
          <w:rtl w:val="true"/>
        </w:rPr>
        <w:t>–</w:t>
      </w:r>
      <w:r>
        <w:rPr>
          <w:rtl w:val="true"/>
        </w:rPr>
        <w:t xml:space="preserve"> השליך על הרצפה מספר צלחות שנשברו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הורה על קבלת תסקיר שירות 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הרחיב בתסקירו</w:t>
      </w:r>
      <w:r>
        <w:rPr>
          <w:rtl w:val="true"/>
        </w:rPr>
        <w:t xml:space="preserve">, </w:t>
      </w:r>
      <w:r>
        <w:rPr>
          <w:rtl w:val="true"/>
        </w:rPr>
        <w:t>מעל ומעבר לנדרש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 בין בני הזוג קיימת מערכת יחסים בעייתית</w:t>
      </w:r>
      <w:r>
        <w:rPr>
          <w:rtl w:val="true"/>
        </w:rPr>
        <w:t xml:space="preserve">, </w:t>
      </w:r>
      <w:r>
        <w:rPr>
          <w:rtl w:val="true"/>
        </w:rPr>
        <w:t>מורכבת וקשה והינם נמצאים בהליכים משפטיים ממושכים ומכאיבים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עולה מהתסקיר</w:t>
      </w:r>
      <w:r>
        <w:rPr>
          <w:rtl w:val="true"/>
        </w:rPr>
        <w:t xml:space="preserve">, </w:t>
      </w:r>
      <w:r>
        <w:rPr>
          <w:rtl w:val="true"/>
        </w:rPr>
        <w:t>כי הנאשם</w:t>
      </w:r>
      <w:r>
        <w:rPr>
          <w:rtl w:val="true"/>
        </w:rPr>
        <w:t xml:space="preserve">, </w:t>
      </w:r>
      <w:r>
        <w:rPr>
          <w:rtl w:val="true"/>
        </w:rPr>
        <w:t>אינו בריא בנפשו ומטופל פסיכיאטרית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שקלתי מכלול נסיבות הענין מכל צד והיבט</w:t>
      </w:r>
      <w:r>
        <w:rPr>
          <w:rtl w:val="true"/>
        </w:rPr>
        <w:t xml:space="preserve">, </w:t>
      </w:r>
      <w:r>
        <w:rPr>
          <w:rtl w:val="true"/>
        </w:rPr>
        <w:t>לרבות מהותה של העבירה בה הודה הנאשם עפ</w:t>
      </w:r>
      <w:r>
        <w:rPr>
          <w:rtl w:val="true"/>
        </w:rPr>
        <w:t>"</w:t>
      </w:r>
      <w:r>
        <w:rPr>
          <w:rtl w:val="true"/>
        </w:rPr>
        <w:t>י כתב האישום 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עבירה זו איננה כוללת אלימות כנגד הגוף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עברו הפלילי של הנאשם נקי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סבורה כי במאזן הראוי שעלי לערוך בין מכלול האינטרסים ובשים לב גם לכך שהנאשם והמתלוננת אינם גרים עוד תחת קורת גג אחת</w:t>
      </w:r>
      <w:r>
        <w:rPr>
          <w:rtl w:val="true"/>
        </w:rPr>
        <w:t xml:space="preserve">, </w:t>
      </w:r>
      <w:r>
        <w:rPr>
          <w:rtl w:val="true"/>
        </w:rPr>
        <w:t>הנני סבורה כי אוכל להסתפק בכך שאני קובעת כי הנאשם עבר העבירה נשוא כתב האישום המתוקן ואינני מרשיעה אותו 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לעונש</w:t>
      </w:r>
      <w:r>
        <w:rPr>
          <w:rtl w:val="true"/>
        </w:rPr>
        <w:t xml:space="preserve">, </w:t>
      </w:r>
      <w:r>
        <w:rPr>
          <w:rtl w:val="true"/>
        </w:rPr>
        <w:t>הנני גוזרת דינו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בהתאם לסעיף </w:t>
      </w:r>
      <w:r>
        <w:rPr/>
        <w:t>77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הנני מחייבת הנאשם לפצות המתלוננת </w:t>
      </w:r>
      <w:r>
        <w:rPr>
          <w:rtl w:val="true"/>
        </w:rPr>
        <w:t xml:space="preserve">-   </w:t>
      </w:r>
      <w:r>
        <w:rPr>
          <w:rtl w:val="true"/>
        </w:rPr>
        <w:t xml:space="preserve">בסכום של </w:t>
      </w:r>
      <w:r>
        <w:rPr/>
        <w:t>300</w:t>
      </w:r>
      <w:r>
        <w:rPr>
          <w:rtl w:val="true"/>
        </w:rPr>
        <w:t xml:space="preserve"> 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סכום זה ישולם ביום </w:t>
      </w:r>
      <w:r>
        <w:rPr/>
        <w:t>28.07.09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כך שיופקד בקופת ביהמ</w:t>
      </w:r>
      <w:r>
        <w:rPr>
          <w:rtl w:val="true"/>
        </w:rPr>
        <w:t>"</w:t>
      </w:r>
      <w:r>
        <w:rPr>
          <w:rtl w:val="true"/>
        </w:rPr>
        <w:t>ש עבור המתלוננת  ועם קבלת הסכום יועבר הסכום אליה ע</w:t>
      </w:r>
      <w:r>
        <w:rPr>
          <w:rtl w:val="true"/>
        </w:rPr>
        <w:t>"</w:t>
      </w:r>
      <w:r>
        <w:rPr>
          <w:rtl w:val="true"/>
        </w:rPr>
        <w:t>י מזכירות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היה ועומד לזכות הנאשם סכום פקדון כלשהו שהפקיד מכח צו הבאה בתיק זה</w:t>
      </w:r>
      <w:r>
        <w:rPr>
          <w:rtl w:val="true"/>
        </w:rPr>
        <w:t xml:space="preserve">, </w:t>
      </w:r>
      <w:r>
        <w:rPr>
          <w:rtl w:val="true"/>
        </w:rPr>
        <w:t>יקוזז סכום הפקדון לטובת תשלום הפיצויים תחילה ויתרת הפקדון</w:t>
      </w:r>
      <w:r>
        <w:rPr>
          <w:rtl w:val="true"/>
        </w:rPr>
        <w:t xml:space="preserve">, </w:t>
      </w:r>
      <w:r>
        <w:rPr>
          <w:rtl w:val="true"/>
        </w:rPr>
        <w:t>אם נותרה</w:t>
      </w:r>
      <w:r>
        <w:rPr>
          <w:rtl w:val="true"/>
        </w:rPr>
        <w:t xml:space="preserve">, </w:t>
      </w:r>
      <w:r>
        <w:rPr>
          <w:rtl w:val="true"/>
        </w:rPr>
        <w:t>תקוזז לאחר מכן לטובת הקנס שהוטל</w:t>
      </w:r>
      <w:r>
        <w:rPr>
          <w:rtl w:val="true"/>
        </w:rPr>
        <w:t xml:space="preserve">, </w:t>
      </w:r>
      <w:r>
        <w:rPr>
          <w:rtl w:val="true"/>
        </w:rPr>
        <w:t>אם הוטל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אם לאחר כל אלה נותרה יתרה כלשהי מהפקדון </w:t>
      </w:r>
      <w:r>
        <w:rPr>
          <w:rtl w:val="true"/>
        </w:rPr>
        <w:t>–</w:t>
      </w:r>
      <w:r>
        <w:rPr>
          <w:rtl w:val="true"/>
        </w:rPr>
        <w:t xml:space="preserve"> תוחזר היא 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בהתאם לסעיף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 </w:t>
      </w:r>
      <w:r>
        <w:rPr>
          <w:rtl w:val="true"/>
        </w:rPr>
        <w:t xml:space="preserve">הנני מחייבת את הנאשם לחתום על התחייבות כספית על </w:t>
      </w:r>
      <w:r>
        <w:rPr>
          <w:rtl w:val="true"/>
        </w:rPr>
        <w:t xml:space="preserve">סך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 xml:space="preserve">מנע מלעבור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שיש בה 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תוקף ההתחייבות למשך שנה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יחתום הנאשם על ההתחייבות אשר פורטה לעיל</w:t>
      </w:r>
      <w:r>
        <w:rPr>
          <w:rtl w:val="true"/>
        </w:rPr>
        <w:t xml:space="preserve">, </w:t>
      </w:r>
      <w:r>
        <w:rPr>
          <w:rtl w:val="true"/>
        </w:rPr>
        <w:t xml:space="preserve">יאסר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מזכירות בית המשפט תשלח עותק מפסק הדין למתלוננת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רמה לאופר חסון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לאופר חסון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לוגסי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/Users/liorb/Downloads/study2025-p2/SH-07-1039-602.doc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1039-07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תחנת זבולון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אריה רוה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039-07"/>
    <w:docVar w:name="caseId" w:val="3077977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88903"/>
    <w:docVar w:name="releaseSign" w:val="0"/>
    <w:docVar w:name="sittingDateTime" w:val="05/07/2009 10:00     "/>
    <w:docVar w:name="sittingId" w:val="15487971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2009-07-05T23:58:00Z</dcterms:created>
  <dc:creator> </dc:creator>
  <dc:description/>
  <cp:keywords/>
  <dc:language>en-IL</dc:language>
  <cp:lastModifiedBy>hofit</cp:lastModifiedBy>
  <cp:lastPrinted>2009-07-05T14:30:00Z</cp:lastPrinted>
  <dcterms:modified xsi:type="dcterms:W3CDTF">2009-07-06T09:09:00Z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תחנת זבולון</vt:lpwstr>
  </property>
  <property fmtid="{D5CDD505-2E9C-101B-9397-08002B2CF9AE}" pid="3" name="APPELLEE">
    <vt:lpwstr>אריה רוה</vt:lpwstr>
  </property>
  <property fmtid="{D5CDD505-2E9C-101B-9397-08002B2CF9AE}" pid="4" name="CITY">
    <vt:lpwstr>קריות</vt:lpwstr>
  </property>
  <property fmtid="{D5CDD505-2E9C-101B-9397-08002B2CF9AE}" pid="5" name="DATE">
    <vt:lpwstr>20090705</vt:lpwstr>
  </property>
  <property fmtid="{D5CDD505-2E9C-101B-9397-08002B2CF9AE}" pid="6" name="DELEMATA">
    <vt:lpwstr/>
  </property>
  <property fmtid="{D5CDD505-2E9C-101B-9397-08002B2CF9AE}" pid="7" name="JUDGE">
    <vt:lpwstr>רמה לאופר חסון</vt:lpwstr>
  </property>
  <property fmtid="{D5CDD505-2E9C-101B-9397-08002B2CF9AE}" pid="8" name="LAWYER">
    <vt:lpwstr>ירון קנטר;גוטמן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1039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1039</vt:lpwstr>
  </property>
  <property fmtid="{D5CDD505-2E9C-101B-9397-08002B2CF9AE}" pid="30" name="PROCYEAR">
    <vt:lpwstr>07</vt:lpwstr>
  </property>
  <property fmtid="{D5CDD505-2E9C-101B-9397-08002B2CF9AE}" pid="31" name="PSAKDIN">
    <vt:lpwstr>פסק-דין</vt:lpwstr>
  </property>
  <property fmtid="{D5CDD505-2E9C-101B-9397-08002B2CF9AE}" pid="32" name="TYPE">
    <vt:lpwstr>3</vt:lpwstr>
  </property>
  <property fmtid="{D5CDD505-2E9C-101B-9397-08002B2CF9AE}" pid="33" name="TYPE_ABS_DATE">
    <vt:lpwstr>380020090705</vt:lpwstr>
  </property>
  <property fmtid="{D5CDD505-2E9C-101B-9397-08002B2CF9AE}" pid="34" name="TYPE_N_DATE">
    <vt:lpwstr>38020090705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