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1"/>
        <w:gridCol w:w="3679"/>
      </w:tblGrid>
      <w:tr>
        <w:trPr>
          <w:trHeight w:val="418" w:hRule="exact"/>
        </w:trPr>
        <w:tc>
          <w:tcPr>
            <w:tcW w:w="872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1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10468-04-09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עאמר</w:t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10478-04-09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ליה לבאון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איסמעיל עאמר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  <w:r>
        <w:rPr>
          <w:b w:val="false"/>
          <w:b w:val="false"/>
          <w:bCs w:val="false"/>
          <w:u w:val="none"/>
          <w:rtl w:val="true"/>
        </w:rPr>
        <w:t xml:space="preserve"> 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מתמחה גברת שירה זילברפרב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איסמעיל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עאמר</w:t>
      </w:r>
      <w:r>
        <w:rPr>
          <w:b w:val="false"/>
          <w:b w:val="false"/>
          <w:bCs w:val="false"/>
          <w:u w:val="none"/>
          <w:rtl w:val="true"/>
        </w:rPr>
        <w:t xml:space="preserve">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אנואר פרייג</w:t>
      </w:r>
      <w:r>
        <w:rPr>
          <w:b w:val="false"/>
          <w:bCs w:val="false"/>
          <w:u w:val="none"/>
          <w:rtl w:val="true"/>
        </w:rPr>
        <w:t>'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/>
        <w:t>1</w:t>
      </w:r>
      <w:r>
        <w:rPr>
          <w:rtl w:val="true"/>
        </w:rPr>
        <w:t xml:space="preserve">. </w:t>
        <w:tab/>
      </w:r>
      <w:bookmarkStart w:id="6" w:name="ABSTRACT_START"/>
      <w:bookmarkEnd w:id="6"/>
      <w:r>
        <w:rPr>
          <w:rtl w:val="true"/>
        </w:rPr>
        <w:t>הנאשם איסמעיל בן עבדאללה עאמר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1979</w:t>
      </w:r>
      <w:r>
        <w:rPr>
          <w:rtl w:val="true"/>
        </w:rPr>
        <w:t xml:space="preserve">, </w:t>
      </w:r>
      <w:r>
        <w:rPr>
          <w:rtl w:val="true"/>
        </w:rPr>
        <w:t>מכפר קאסם</w:t>
      </w:r>
      <w:r>
        <w:rPr>
          <w:rtl w:val="true"/>
        </w:rPr>
        <w:t xml:space="preserve">, </w:t>
      </w:r>
      <w:r>
        <w:rPr>
          <w:rtl w:val="true"/>
        </w:rPr>
        <w:t xml:space="preserve">הורשע משנמצא ביום </w:t>
      </w:r>
      <w:r>
        <w:rPr/>
        <w:t>21.4.09</w:t>
      </w:r>
      <w:r>
        <w:rPr>
          <w:rtl w:val="true"/>
        </w:rPr>
        <w:t xml:space="preserve"> </w:t>
      </w:r>
      <w:r>
        <w:rPr>
          <w:rtl w:val="true"/>
        </w:rPr>
        <w:t xml:space="preserve">מחזיק בחצר ביתו אקדח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מסוג </w:t>
      </w:r>
      <w:r>
        <w:rPr/>
        <w:t>STAR</w:t>
      </w:r>
      <w:r>
        <w:rPr>
          <w:rtl w:val="true"/>
        </w:rPr>
        <w:t xml:space="preserve"> </w:t>
      </w:r>
      <w:r>
        <w:rPr>
          <w:rtl w:val="true"/>
        </w:rPr>
        <w:t>ובו מחסנית עם כדורים תואמים</w:t>
      </w:r>
      <w:r>
        <w:rPr>
          <w:rtl w:val="true"/>
        </w:rPr>
        <w:t xml:space="preserve">, </w:t>
      </w:r>
      <w:r>
        <w:rPr>
          <w:rtl w:val="true"/>
        </w:rPr>
        <w:t>ועל גג הבית בינות הרעפים החזיק ב</w:t>
      </w:r>
      <w:r>
        <w:rPr>
          <w:rtl w:val="true"/>
        </w:rPr>
        <w:t>-</w:t>
      </w:r>
      <w:r>
        <w:rPr/>
        <w:t>102</w:t>
      </w:r>
      <w:r>
        <w:rPr>
          <w:rtl w:val="true"/>
        </w:rPr>
        <w:t xml:space="preserve"> </w:t>
      </w:r>
      <w:r>
        <w:rPr>
          <w:rtl w:val="true"/>
        </w:rPr>
        <w:t xml:space="preserve">כדורים נוספים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הרשעתו היא בעבירות לפי הסעיפים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>-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וכן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 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נשק זה נגנב בשנת </w:t>
      </w:r>
      <w:r>
        <w:rPr/>
        <w:t>1996</w:t>
      </w:r>
      <w:r>
        <w:rPr>
          <w:rtl w:val="true"/>
        </w:rPr>
        <w:t xml:space="preserve"> </w:t>
      </w:r>
      <w:r>
        <w:rPr>
          <w:rtl w:val="true"/>
        </w:rPr>
        <w:t>מבעליו החוקיים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בעברו עבירות רכוש משנת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 xml:space="preserve">עבירות אלימות משנת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 xml:space="preserve">וכן הפרת הוראה חוקית עליהן נשפט בינואר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 xml:space="preserve">עבירות רכוש והפרעה לשוטר משנת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שנשפט בגינה ב</w:t>
      </w:r>
      <w:r>
        <w:rPr>
          <w:rtl w:val="true"/>
        </w:rPr>
        <w:t>-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וכן עבירה נוספת של פריצה לרכב כדי לגנוב</w:t>
      </w:r>
      <w:r>
        <w:rPr>
          <w:rtl w:val="true"/>
        </w:rPr>
        <w:t xml:space="preserve">, </w:t>
      </w:r>
      <w:r>
        <w:rPr>
          <w:rtl w:val="true"/>
        </w:rPr>
        <w:t xml:space="preserve">עליה נשפט בשנת </w:t>
      </w:r>
      <w:r>
        <w:rPr/>
        <w:t>2000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בתסקיר שנתקבל תוארו ילדותו ובגרותו</w:t>
      </w:r>
      <w:r>
        <w:rPr>
          <w:rtl w:val="true"/>
        </w:rPr>
        <w:t xml:space="preserve">, </w:t>
      </w:r>
      <w:r>
        <w:rPr>
          <w:rtl w:val="true"/>
        </w:rPr>
        <w:t>יחסי הגומלין עם משפחתו הצרה והנרחבת</w:t>
      </w:r>
      <w:r>
        <w:rPr>
          <w:rtl w:val="true"/>
        </w:rPr>
        <w:t xml:space="preserve">, </w:t>
      </w:r>
      <w:r>
        <w:rPr>
          <w:rtl w:val="true"/>
        </w:rPr>
        <w:t>והחשיבות שרואה בחיי הנישואין</w:t>
      </w:r>
      <w:r>
        <w:rPr>
          <w:rtl w:val="true"/>
        </w:rPr>
        <w:t xml:space="preserve">, </w:t>
      </w:r>
      <w:r>
        <w:rPr>
          <w:rtl w:val="true"/>
        </w:rPr>
        <w:t>התרחקות מחברה שולית ומסגרת עבודה יציבה בשיפוצים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 אף העובדה שכ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לא נפתחו תיקים כנגד הנאשם</w:t>
      </w:r>
      <w:r>
        <w:rPr>
          <w:rtl w:val="true"/>
        </w:rPr>
        <w:t xml:space="preserve">, </w:t>
      </w:r>
      <w:r>
        <w:rPr>
          <w:rtl w:val="true"/>
        </w:rPr>
        <w:t>בשל עמדתו בקשר עם העבירה</w:t>
      </w:r>
      <w:r>
        <w:rPr>
          <w:rtl w:val="true"/>
        </w:rPr>
        <w:t xml:space="preserve">, </w:t>
      </w:r>
      <w:r>
        <w:rPr>
          <w:rtl w:val="true"/>
        </w:rPr>
        <w:t>משהודה שהנשק נמצא בחצר ביתו אך שלל קשר לעבירה והדגיש קורבנוּת באירוע</w:t>
      </w:r>
      <w:r>
        <w:rPr>
          <w:rtl w:val="true"/>
        </w:rPr>
        <w:t xml:space="preserve">, </w:t>
      </w:r>
      <w:r>
        <w:rPr>
          <w:rtl w:val="true"/>
        </w:rPr>
        <w:t>לא הונחה המלצה טיפולית 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בטיעוניו לעונש עתר נציג פמ</w:t>
      </w:r>
      <w:r>
        <w:rPr>
          <w:rtl w:val="true"/>
        </w:rPr>
        <w:t>"</w:t>
      </w:r>
      <w:r>
        <w:rPr>
          <w:rtl w:val="true"/>
        </w:rPr>
        <w:t>מ להטלת מאסר לתקופה שלא תפחת משנה מאסר על תנאי  וקנס</w:t>
      </w:r>
      <w:r>
        <w:rPr>
          <w:rtl w:val="true"/>
        </w:rPr>
        <w:t xml:space="preserve">, </w:t>
      </w:r>
      <w:r>
        <w:rPr>
          <w:rtl w:val="true"/>
        </w:rPr>
        <w:t>הפנה לפסיקה</w:t>
      </w:r>
      <w:r>
        <w:rPr>
          <w:rtl w:val="true"/>
        </w:rPr>
        <w:t xml:space="preserve">, </w:t>
      </w:r>
      <w:r>
        <w:rPr>
          <w:rtl w:val="true"/>
        </w:rPr>
        <w:t>והדגיש הצורך להרתיע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עוה</w:t>
      </w:r>
      <w:r>
        <w:rPr>
          <w:rtl w:val="true"/>
        </w:rPr>
        <w:t>"</w:t>
      </w:r>
      <w:r>
        <w:rPr>
          <w:rtl w:val="true"/>
        </w:rPr>
        <w:t>ד פרייג</w:t>
      </w:r>
      <w:r>
        <w:rPr>
          <w:rtl w:val="true"/>
        </w:rPr>
        <w:t xml:space="preserve">' </w:t>
      </w:r>
      <w:r>
        <w:rPr>
          <w:rtl w:val="true"/>
        </w:rPr>
        <w:t>חזר וביקש לסיים ההליך ומשנתבקש הסבר עפ</w:t>
      </w:r>
      <w:r>
        <w:rPr>
          <w:rtl w:val="true"/>
        </w:rPr>
        <w:t>"</w:t>
      </w:r>
      <w:r>
        <w:rPr>
          <w:rtl w:val="true"/>
        </w:rPr>
        <w:t>י האמור בתסקיר בקשר עם עמדת הנאשם באשר למיוחס לו</w:t>
      </w:r>
      <w:r>
        <w:rPr>
          <w:rtl w:val="true"/>
        </w:rPr>
        <w:t xml:space="preserve">, </w:t>
      </w:r>
      <w:r>
        <w:rPr>
          <w:rtl w:val="true"/>
        </w:rPr>
        <w:t>מסר כי המדובר בבית משותף</w:t>
      </w:r>
      <w:r>
        <w:rPr>
          <w:rtl w:val="true"/>
        </w:rPr>
        <w:t xml:space="preserve">, </w:t>
      </w:r>
      <w:r>
        <w:rPr>
          <w:rtl w:val="true"/>
        </w:rPr>
        <w:t>גג משותף</w:t>
      </w:r>
      <w:r>
        <w:rPr>
          <w:rtl w:val="true"/>
        </w:rPr>
        <w:t xml:space="preserve">, </w:t>
      </w:r>
      <w:r>
        <w:rPr>
          <w:rtl w:val="true"/>
        </w:rPr>
        <w:t>חצר שחוצצת גדר נמוכה בינו לבין אחיו עמו הוא מסוכסך</w:t>
      </w:r>
      <w:r>
        <w:rPr>
          <w:rtl w:val="true"/>
        </w:rPr>
        <w:t xml:space="preserve">, </w:t>
      </w:r>
      <w:r>
        <w:rPr>
          <w:rtl w:val="true"/>
        </w:rPr>
        <w:t>וחזר וביקש לסיים ההליך כדי לא לפתוח סכסוכים אחרים 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למדתי כי הנאשם מאז אפריל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היה במעצר בית</w:t>
      </w:r>
      <w:r>
        <w:rPr>
          <w:rtl w:val="true"/>
        </w:rPr>
        <w:t xml:space="preserve">, </w:t>
      </w:r>
      <w:r>
        <w:rPr>
          <w:rtl w:val="true"/>
        </w:rPr>
        <w:t>לאחר מכן הוקלו התנאים</w:t>
      </w:r>
      <w:r>
        <w:rPr>
          <w:rtl w:val="true"/>
        </w:rPr>
        <w:t xml:space="preserve">. </w:t>
      </w:r>
      <w:r>
        <w:rPr>
          <w:rtl w:val="true"/>
        </w:rPr>
        <w:t>עמד על השינוי בהתנהגותו ובחייו מאז נישא והפך לאיש משפחה</w:t>
      </w:r>
      <w:r>
        <w:rPr>
          <w:rtl w:val="true"/>
        </w:rPr>
        <w:t xml:space="preserve">, </w:t>
      </w:r>
      <w:r>
        <w:rPr>
          <w:rtl w:val="true"/>
        </w:rPr>
        <w:t>וביקש להקל עימו גם בשל הקפדתו על מילוי תנאי השחרור בערובה כך שיוטל עליו עונש צופה פני עתיד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מאסר לריצוי בדרך של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עצמו חזר ואמר שידע על הנשק</w:t>
      </w:r>
      <w:r>
        <w:rPr>
          <w:rtl w:val="true"/>
        </w:rPr>
        <w:t xml:space="preserve">, </w:t>
      </w:r>
      <w:r>
        <w:rPr>
          <w:rtl w:val="true"/>
        </w:rPr>
        <w:t>כי לא רוצה לסבך את האחים שלו</w:t>
      </w:r>
      <w:r>
        <w:rPr>
          <w:rtl w:val="true"/>
        </w:rPr>
        <w:t xml:space="preserve">, </w:t>
      </w:r>
      <w:r>
        <w:rPr>
          <w:rtl w:val="true"/>
        </w:rPr>
        <w:t>כי פחד מ</w:t>
      </w:r>
      <w:r>
        <w:rPr>
          <w:rtl w:val="true"/>
        </w:rPr>
        <w:t>"</w:t>
      </w:r>
      <w:r>
        <w:rPr>
          <w:rtl w:val="true"/>
        </w:rPr>
        <w:t>הענין הזה</w:t>
      </w:r>
      <w:r>
        <w:rPr>
          <w:rtl w:val="true"/>
        </w:rPr>
        <w:t xml:space="preserve">" </w:t>
      </w:r>
      <w:r>
        <w:rPr>
          <w:rtl w:val="true"/>
        </w:rPr>
        <w:t xml:space="preserve">ומבקש לגמור את </w:t>
      </w:r>
      <w:r>
        <w:rPr>
          <w:rtl w:val="true"/>
        </w:rPr>
        <w:t>"</w:t>
      </w:r>
      <w:r>
        <w:rPr>
          <w:rtl w:val="true"/>
        </w:rPr>
        <w:t>הסיפור הזה</w:t>
      </w:r>
      <w:r>
        <w:rPr>
          <w:rtl w:val="true"/>
        </w:rPr>
        <w:t xml:space="preserve">", </w:t>
      </w:r>
      <w:r>
        <w:rPr>
          <w:rtl w:val="true"/>
        </w:rPr>
        <w:t>משנתפס הנשק אצלו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עיינתי בפסיקה שהוגשה לי</w:t>
      </w:r>
      <w:r>
        <w:rPr>
          <w:rtl w:val="true"/>
        </w:rPr>
        <w:t xml:space="preserve">, </w:t>
      </w:r>
      <w:r>
        <w:rPr>
          <w:rtl w:val="true"/>
        </w:rPr>
        <w:t>הן מטעם התביעה והן באוסף מרשים שהגיש לעיוני הסניגור עוה</w:t>
      </w:r>
      <w:r>
        <w:rPr>
          <w:rtl w:val="true"/>
        </w:rPr>
        <w:t>"</w:t>
      </w:r>
      <w:r>
        <w:rPr>
          <w:rtl w:val="true"/>
        </w:rPr>
        <w:t>ד פרייג</w:t>
      </w:r>
      <w:r>
        <w:rPr>
          <w:rtl w:val="true"/>
        </w:rPr>
        <w:t xml:space="preserve">', </w:t>
      </w:r>
      <w:r>
        <w:rPr>
          <w:rtl w:val="true"/>
        </w:rPr>
        <w:t>ובהתאם לנסיבות ולאחר שנים ארוכות של התנתקות מהפשע והפיכה לאיש משפחה ומפרנס אשתו ושתי בנותיו</w:t>
      </w:r>
      <w:r>
        <w:rPr>
          <w:rtl w:val="true"/>
        </w:rPr>
        <w:t xml:space="preserve">, </w:t>
      </w:r>
      <w:r>
        <w:rPr>
          <w:rtl w:val="true"/>
        </w:rPr>
        <w:t>אין הצדקה לשליחתו של הנאשם לריצוי מאסר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בתחום העבירות של החזקת נשק ותחמושת יש להחמיר</w:t>
      </w:r>
      <w:r>
        <w:rPr>
          <w:rtl w:val="true"/>
        </w:rPr>
        <w:t xml:space="preserve">, </w:t>
      </w:r>
      <w:r>
        <w:rPr>
          <w:rtl w:val="true"/>
        </w:rPr>
        <w:t>ובפרט מחשש לשימוש בו וקטילת חיי אדם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14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בנסיבות שפורטו בפני ובדרך שלוקח הנאשם אחריות</w:t>
      </w:r>
      <w:r>
        <w:rPr>
          <w:rtl w:val="true"/>
        </w:rPr>
        <w:t xml:space="preserve">, </w:t>
      </w:r>
      <w:r>
        <w:rPr>
          <w:rtl w:val="true"/>
        </w:rPr>
        <w:t xml:space="preserve">מסתפקת אני בהטלת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מהם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לריצוי בפועל ובדרך של עבודות שירות אשר יבוצעו בהסכמתו שניתנת במעמד זה</w:t>
      </w:r>
      <w:r>
        <w:rPr>
          <w:rtl w:val="true"/>
        </w:rPr>
        <w:t xml:space="preserve">, </w:t>
      </w:r>
      <w:r>
        <w:rPr>
          <w:rtl w:val="true"/>
        </w:rPr>
        <w:t>בעיריית ראש העין</w:t>
      </w:r>
      <w:r>
        <w:rPr>
          <w:rtl w:val="true"/>
        </w:rPr>
        <w:t xml:space="preserve">, </w:t>
      </w:r>
      <w:r>
        <w:rPr>
          <w:rtl w:val="true"/>
        </w:rPr>
        <w:t xml:space="preserve">שילה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ראש העין</w:t>
      </w:r>
      <w:r>
        <w:rPr>
          <w:rtl w:val="true"/>
        </w:rPr>
        <w:t xml:space="preserve">, </w:t>
      </w:r>
      <w:r>
        <w:rPr>
          <w:rtl w:val="true"/>
        </w:rPr>
        <w:t>בימים א</w:t>
      </w:r>
      <w:r>
        <w:rPr>
          <w:rtl w:val="true"/>
        </w:rPr>
        <w:t xml:space="preserve">' –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 xml:space="preserve">בין השעות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 xml:space="preserve">וזאת החל מיום </w:t>
      </w:r>
      <w:r>
        <w:rPr/>
        <w:t>13.5.10</w:t>
      </w:r>
      <w:r>
        <w:rPr>
          <w:rtl w:val="true"/>
        </w:rPr>
        <w:t xml:space="preserve"> </w:t>
      </w:r>
      <w:r>
        <w:rPr>
          <w:rtl w:val="true"/>
        </w:rPr>
        <w:t xml:space="preserve">בפיקוחו של פרץ האני  </w:t>
      </w:r>
      <w:r>
        <w:rPr/>
        <w:t>050-6278541</w:t>
      </w:r>
      <w:r>
        <w:rPr>
          <w:rtl w:val="true"/>
        </w:rPr>
        <w:t xml:space="preserve"> </w:t>
      </w:r>
      <w:r>
        <w:rPr>
          <w:rtl w:val="true"/>
        </w:rPr>
        <w:t>והנאשם יתייצב במועד האמור במפקדת מחוז מרכז</w:t>
      </w:r>
      <w:r>
        <w:rPr>
          <w:rtl w:val="true"/>
        </w:rPr>
        <w:t xml:space="preserve">, </w:t>
      </w:r>
      <w:r>
        <w:rPr>
          <w:rtl w:val="true"/>
        </w:rPr>
        <w:t>יח</w:t>
      </w:r>
      <w:r>
        <w:rPr>
          <w:rtl w:val="true"/>
        </w:rPr>
        <w:t xml:space="preserve">' </w:t>
      </w:r>
      <w:r>
        <w:rPr>
          <w:rtl w:val="true"/>
        </w:rPr>
        <w:t xml:space="preserve">עבודות שירות רמלה אצל המפקח על עבודות השירות בשעה </w:t>
      </w:r>
      <w:r>
        <w:rPr/>
        <w:t>8:00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14" w:end="0"/>
        <w:jc w:val="both"/>
        <w:rPr/>
      </w:pPr>
      <w:r>
        <w:rPr>
          <w:rtl w:val="true"/>
        </w:rPr>
        <w:t>מבהירה אני לנאשם כי עליו לדווח על כל שינוי אם יחול בכתובת מגוריו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" w:start="72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עליו לעמוד בתנאי הפיקוח ובקורות פתע – וכל הפרה בעבודות השרות יכול  שתביא להפסקה מנהלית וריצוי העונש במאסר ממש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את יתרת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החודשים לא יישא אלא אם בתוך שנתיים יחזור ויעבור על העבירות בהן 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מוטל קנס בגובה </w:t>
      </w:r>
      <w:r>
        <w:rPr/>
        <w:t>7500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הנשק והתחמושת יחולטו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תחתם התחייבות בגובה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תנאיה כפי התנאי שהוטל</w:t>
      </w:r>
      <w:r>
        <w:rPr>
          <w:rtl w:val="true"/>
        </w:rPr>
        <w:t xml:space="preserve">, </w:t>
      </w:r>
      <w:r>
        <w:rPr>
          <w:rtl w:val="true"/>
        </w:rPr>
        <w:t xml:space="preserve">ואם לא תחתם ירצה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בהסכמה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פיקדון שנמצא בתיק יקוזז מן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וזאת לאחר תום ריצוי המאסר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יתרת הקנס בגובה </w:t>
      </w:r>
      <w:r>
        <w:rPr>
          <w:rFonts w:cs="David" w:ascii="David" w:hAnsi="David"/>
        </w:rPr>
        <w:t>2500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תשולם בשני שיעורים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הראשון ביום </w:t>
      </w:r>
      <w:r>
        <w:rPr>
          <w:rFonts w:cs="David" w:ascii="David" w:hAnsi="David"/>
        </w:rPr>
        <w:t>2.12.10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והשני ביום </w:t>
      </w:r>
      <w:r>
        <w:rPr>
          <w:rFonts w:cs="David" w:ascii="David" w:hAnsi="David"/>
        </w:rPr>
        <w:t>2.1.11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start="720" w:end="0"/>
        <w:jc w:val="both"/>
        <w:rPr>
          <w:rFonts w:ascii="David" w:hAnsi="David" w:cs="David"/>
          <w:b/>
          <w:bCs/>
          <w:u w:val="double"/>
        </w:rPr>
      </w:pPr>
      <w:r>
        <w:rPr>
          <w:rFonts w:ascii="David" w:hAnsi="David" w:cs="David"/>
          <w:b/>
          <w:b/>
          <w:bCs/>
          <w:u w:val="double"/>
          <w:rtl w:val="true"/>
        </w:rPr>
        <w:t>זכות ערעור לביהמ</w:t>
      </w:r>
      <w:r>
        <w:rPr>
          <w:rFonts w:cs="David" w:ascii="David" w:hAnsi="David"/>
          <w:b/>
          <w:bCs/>
          <w:u w:val="double"/>
          <w:rtl w:val="true"/>
        </w:rPr>
        <w:t>"</w:t>
      </w:r>
      <w:r>
        <w:rPr>
          <w:rFonts w:ascii="David" w:hAnsi="David" w:cs="David"/>
          <w:b/>
          <w:b/>
          <w:bCs/>
          <w:u w:val="double"/>
          <w:rtl w:val="true"/>
        </w:rPr>
        <w:t xml:space="preserve">ש המחוזי תוך </w:t>
      </w:r>
      <w:r>
        <w:rPr>
          <w:rFonts w:cs="David" w:ascii="David" w:hAnsi="David"/>
          <w:b/>
          <w:bCs/>
          <w:u w:val="double"/>
        </w:rPr>
        <w:t>45</w:t>
      </w:r>
      <w:r>
        <w:rPr>
          <w:rFonts w:cs="David" w:ascii="David" w:hAnsi="David"/>
          <w:b/>
          <w:bCs/>
          <w:u w:val="doub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double"/>
          <w:rtl w:val="true"/>
        </w:rPr>
        <w:t>יום</w:t>
      </w:r>
      <w:r>
        <w:rPr>
          <w:rFonts w:cs="David" w:ascii="David" w:hAnsi="David"/>
          <w:b/>
          <w:bCs/>
          <w:u w:val="doub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double"/>
        </w:rPr>
      </w:pPr>
      <w:r>
        <w:rPr>
          <w:rFonts w:cs="David"/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/Users/liorb/Downloads/study2025-p2/SH-09-04-10468-869.doc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10468-04-09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איסמעיל עאמר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2010-04-07T01:34:00Z</dcterms:created>
  <dc:creator> </dc:creator>
  <dc:description/>
  <cp:keywords/>
  <dc:language>en-IL</dc:language>
  <cp:lastModifiedBy>comp</cp:lastModifiedBy>
  <dcterms:modified xsi:type="dcterms:W3CDTF">2010-04-07T10:05:00Z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איסמעיל עאמר</vt:lpwstr>
  </property>
  <property fmtid="{D5CDD505-2E9C-101B-9397-08002B2CF9AE}" pid="4" name="CITY">
    <vt:lpwstr>פ"ת</vt:lpwstr>
  </property>
  <property fmtid="{D5CDD505-2E9C-101B-9397-08002B2CF9AE}" pid="5" name="DATE">
    <vt:lpwstr>20100406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ליה לבאון</vt:lpwstr>
  </property>
  <property fmtid="{D5CDD505-2E9C-101B-9397-08002B2CF9AE}" pid="9" name="LAWYER">
    <vt:lpwstr>אנואר פרייג'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10468</vt:lpwstr>
  </property>
  <property fmtid="{D5CDD505-2E9C-101B-9397-08002B2CF9AE}" pid="23" name="NEWPARTB">
    <vt:lpwstr>04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shalom sh 09 04 10468 869 htm</vt:lpwstr>
  </property>
  <property fmtid="{D5CDD505-2E9C-101B-9397-08002B2CF9AE}" pid="34" name="TYPE">
    <vt:lpwstr>3</vt:lpwstr>
  </property>
  <property fmtid="{D5CDD505-2E9C-101B-9397-08002B2CF9AE}" pid="35" name="TYPE_ABS_DATE">
    <vt:lpwstr>380020100406</vt:lpwstr>
  </property>
  <property fmtid="{D5CDD505-2E9C-101B-9397-08002B2CF9AE}" pid="36" name="TYPE_N_DATE">
    <vt:lpwstr>38020100406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