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53"/>
        <w:gridCol w:w="255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953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 עמית כהן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552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2016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10549-06-15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1080"/>
        <w:gridCol w:w="6997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ענבל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ברסנו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חמזה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צואוין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אסיר</w:t>
            </w:r>
            <w:r>
              <w:rPr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מוחמד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ברין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val="en-US" w:eastAsia="en-US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305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למניעת הסתננות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עבירות ושיפוט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Heading1"/>
        <w:ind w:hanging="0" w:start="0" w:end="0"/>
        <w:jc w:val="both"/>
        <w:rPr/>
      </w:pPr>
      <w:r>
        <w:rPr>
          <w:rtl w:val="true"/>
        </w:rPr>
        <w:t>רקע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bookmarkStart w:id="9" w:name="ABSTRACT_START"/>
      <w:bookmarkEnd w:id="9"/>
      <w:r>
        <w:rPr>
          <w:rtl w:val="true"/>
        </w:rPr>
        <w:t>הנאשם הורשע על פי הודאתו בכתב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sz w:val="22"/>
          <w:sz w:val="22"/>
          <w:szCs w:val="26"/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>
          <w:sz w:val="24"/>
        </w:rPr>
      </w:pPr>
      <w:bookmarkStart w:id="10" w:name="ABSTRACT_END"/>
      <w:bookmarkEnd w:id="10"/>
      <w:r>
        <w:rPr>
          <w:rtl w:val="true"/>
        </w:rPr>
        <w:t>מעובדות כתב האישום המתוקן בשנית עולה כי הנאשם היה בתקופה הרלוונטית אסיר בכלא רמון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23/2/15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12:10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היה הנאשם צריך לצאת לבדיקות רפואיות בבית החולים של שירות בתי הסוהר</w:t>
      </w:r>
      <w:r>
        <w:rPr>
          <w:rtl w:val="true"/>
        </w:rPr>
        <w:t xml:space="preserve">; </w:t>
      </w:r>
      <w:r>
        <w:rPr>
          <w:rtl w:val="true"/>
        </w:rPr>
        <w:t>במהלך בדיקת הנאשם לקראת יציאתו מהכלא</w:t>
      </w:r>
      <w:r>
        <w:rPr>
          <w:rtl w:val="true"/>
        </w:rPr>
        <w:t xml:space="preserve">, </w:t>
      </w:r>
      <w:r>
        <w:rPr>
          <w:rtl w:val="true"/>
        </w:rPr>
        <w:t xml:space="preserve">נשמע צפצוף במכשיר המגנומטר שהעלה את חשדו של הסוהר חיים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sz w:val="22"/>
          <w:sz w:val="22"/>
          <w:szCs w:val="26"/>
          <w:rtl w:val="true"/>
        </w:rPr>
        <w:t>חיים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b/>
          <w:b/>
          <w:bCs/>
          <w:sz w:val="22"/>
          <w:sz w:val="22"/>
          <w:szCs w:val="26"/>
          <w:rtl w:val="true"/>
        </w:rPr>
        <w:t>הסוהר</w:t>
      </w:r>
      <w:r>
        <w:rPr>
          <w:rtl w:val="true"/>
        </w:rPr>
        <w:t xml:space="preserve">"), </w:t>
      </w:r>
      <w:r>
        <w:rPr>
          <w:rtl w:val="true"/>
        </w:rPr>
        <w:t>אשר ביקש מהנאשם לעבור לחדר צדדי לצורך ביצוע חיפוש גופני</w:t>
      </w:r>
      <w:r>
        <w:rPr>
          <w:rtl w:val="true"/>
        </w:rPr>
        <w:t xml:space="preserve">; </w:t>
      </w:r>
      <w:r>
        <w:rPr>
          <w:sz w:val="24"/>
          <w:sz w:val="24"/>
          <w:rtl w:val="true"/>
        </w:rPr>
        <w:t>הנאשם נכנס לחדר כשחיים בעקבותיו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שלף חפץ חד שהסתיר בבגדיו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צעק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אללה אכבר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ובכוונה לגרום לחיים חבלה חמורה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התקרב אל חיים ודקר אותו בצווארו ובפניו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חיים הדף מעליו את הנאשם וקרא לסוהר 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ישראל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שיבוא לסייע לו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 הבחין בישראל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הלך לכיוונו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 כשראה שישראל מחזיק באלה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 לכיוונו של חיים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חיים השליך שרפרף מפלסטיק שהיה מונח בסמוך אליו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 מנת להרחיק את הנאשם ממנו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סוהר 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חגי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חגי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שמע את הצעקות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ניגש לחדר ויחד עם חיים הצליחו להשתלט על הנאשם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כתוצאה ממעשיו של 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נגרמו לחיים סימני חבלה בלחי השמאלית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באורך של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 xml:space="preserve">שתי שריטות  באזור הצוואר באורך של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 ו</w:t>
      </w:r>
      <w:r>
        <w:rPr>
          <w:sz w:val="24"/>
          <w:rtl w:val="true"/>
        </w:rPr>
        <w:t xml:space="preserve">-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שריטות באזור העליון השמאלי של החזה ורגישות באזור החזה והצוואר</w:t>
      </w:r>
      <w:r>
        <w:rPr>
          <w:sz w:val="24"/>
          <w:rtl w:val="true"/>
        </w:rPr>
        <w:t>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המאשימה התחילה להציג ראיותיה</w:t>
      </w:r>
      <w:r>
        <w:rPr>
          <w:rtl w:val="true"/>
        </w:rPr>
        <w:t xml:space="preserve">, </w:t>
      </w:r>
      <w:r>
        <w:rPr>
          <w:rtl w:val="true"/>
        </w:rPr>
        <w:t xml:space="preserve">ונשמעו עדויותיהם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כולל חיים</w:t>
      </w:r>
      <w:r>
        <w:rPr>
          <w:rtl w:val="true"/>
        </w:rPr>
        <w:t xml:space="preserve">, </w:t>
      </w:r>
      <w:r>
        <w:rPr>
          <w:rtl w:val="true"/>
        </w:rPr>
        <w:t>ישראל וחגי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הגישה מוצגים שונים ובין השאר צילום הפגיעות בחיים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 xml:space="preserve">צילום החפץ בו עשה הנאשם שימוש כדי לדקור את חיים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 xml:space="preserve">צילומי מצלמות אבטחה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מזכרים ותעודות שונות</w:t>
      </w:r>
      <w:r>
        <w:rPr>
          <w:rtl w:val="true"/>
        </w:rPr>
        <w:t xml:space="preserve">. </w:t>
      </w:r>
      <w:r>
        <w:rPr>
          <w:rtl w:val="true"/>
        </w:rPr>
        <w:t xml:space="preserve">ההגנה הגישה צילומים של הנאשם אחרי האירוע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לאחר שנשמעו העדויות שתוארו לעיל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על פיו חזר בו הנאשם מכפירתו</w:t>
      </w:r>
      <w:r>
        <w:rPr>
          <w:rtl w:val="true"/>
        </w:rPr>
        <w:t xml:space="preserve">, </w:t>
      </w:r>
      <w:r>
        <w:rPr>
          <w:rtl w:val="true"/>
        </w:rPr>
        <w:t xml:space="preserve">הודה בעובדות כתב האישום המתוקן בשנית </w:t>
      </w:r>
      <w:r>
        <w:rPr>
          <w:rtl w:val="true"/>
        </w:rPr>
        <w:t>(</w:t>
      </w:r>
      <w:r>
        <w:rPr>
          <w:rtl w:val="true"/>
        </w:rPr>
        <w:t>כמתואר לעיל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הסדר הטיעון לא כלל הסכמה עונשית</w:t>
      </w:r>
      <w:r>
        <w:rPr>
          <w:rtl w:val="true"/>
        </w:rPr>
        <w:t xml:space="preserve">, </w:t>
      </w:r>
      <w:r>
        <w:rPr>
          <w:rtl w:val="true"/>
        </w:rPr>
        <w:t xml:space="preserve">אך הצדדים הסכימו שהמאשימה תטען לעונש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אשר ירוצה במצטבר לכל עונש אחר אותו מרצה הנאשם</w:t>
      </w:r>
      <w:r>
        <w:rPr>
          <w:rtl w:val="true"/>
        </w:rPr>
        <w:t xml:space="preserve">, </w:t>
      </w:r>
      <w:r>
        <w:rPr>
          <w:rtl w:val="true"/>
        </w:rPr>
        <w:t>וההגנה לא תהיה מוגבלת בטיעוניה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הראיות לעונש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b/>
          <w:b/>
          <w:bCs/>
          <w:rtl w:val="true"/>
        </w:rPr>
        <w:t>המאשימה</w:t>
      </w:r>
      <w:r>
        <w:rPr>
          <w:rtl w:val="true"/>
        </w:rPr>
        <w:t xml:space="preserve"> הגישה את גיליון הרישום הפלילי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על פיו ביום </w:t>
      </w:r>
      <w:r>
        <w:rPr/>
        <w:t>16/3/14</w:t>
      </w:r>
      <w:r>
        <w:rPr>
          <w:rtl w:val="true"/>
        </w:rPr>
        <w:t xml:space="preserve"> </w:t>
      </w:r>
      <w:r>
        <w:rPr>
          <w:rtl w:val="true"/>
        </w:rPr>
        <w:t xml:space="preserve">נגזרו עליו </w:t>
      </w:r>
      <w:hyperlink r:id="rId22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30135-07-13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מחוזי באר שבע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</w:hyperlink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 ומאסר מותנה בגין הרשעתו בשתי עבירות של הסתננות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למניעת הסתננות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עבירות ושיפוט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 xml:space="preserve">ד – </w:t>
      </w:r>
      <w:r>
        <w:rPr/>
        <w:t>1954</w:t>
      </w:r>
      <w:r>
        <w:rPr>
          <w:rtl w:val="true"/>
        </w:rPr>
        <w:t xml:space="preserve">; </w:t>
      </w:r>
      <w:r>
        <w:rPr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מגע עם סוכן חוץ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חברות בהתאגדות בלתי חוקית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תקנות</w:t>
        </w:r>
        <w:r>
          <w:rPr>
            <w:rStyle w:val="Hyperlink"/>
            <w:rtl w:val="true"/>
          </w:rPr>
          <w:t xml:space="preserve"> ההגנה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 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; </w:t>
      </w:r>
      <w:r>
        <w:rPr>
          <w:rtl w:val="true"/>
        </w:rPr>
        <w:t>רכישת</w:t>
      </w:r>
      <w:r>
        <w:rPr>
          <w:rtl w:val="true"/>
        </w:rPr>
        <w:t>/</w:t>
      </w:r>
      <w:r>
        <w:rPr>
          <w:rtl w:val="true"/>
        </w:rPr>
        <w:t>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ניסיון לגרימת מוות לפי </w:t>
      </w:r>
      <w:hyperlink r:id="rId3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</w:p>
    <w:p>
      <w:pPr>
        <w:pStyle w:val="1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 תסקיר נפגע עבירה</w:t>
      </w:r>
      <w:r>
        <w:rPr>
          <w:rtl w:val="true"/>
        </w:rPr>
        <w:t xml:space="preserve">, </w:t>
      </w:r>
      <w:r>
        <w:rPr>
          <w:rtl w:val="true"/>
        </w:rPr>
        <w:t>בקשר למצבו של חיים</w:t>
      </w:r>
      <w:r>
        <w:rPr>
          <w:rtl w:val="true"/>
        </w:rPr>
        <w:t xml:space="preserve">, </w:t>
      </w:r>
      <w:r>
        <w:rPr>
          <w:rtl w:val="true"/>
        </w:rPr>
        <w:t xml:space="preserve">אשר הוכן בהתאם </w:t>
      </w:r>
      <w:hyperlink r:id="rId32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סדר הדין הפלילי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משולב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 xml:space="preserve">- </w:t>
      </w:r>
      <w:r>
        <w:rPr/>
        <w:t>1982</w:t>
      </w:r>
      <w:r>
        <w:rPr>
          <w:rtl w:val="true"/>
        </w:rPr>
        <w:t>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b/>
          <w:b/>
          <w:bCs/>
          <w:rtl w:val="true"/>
        </w:rPr>
        <w:t xml:space="preserve">מטעם הנאשם </w:t>
      </w:r>
      <w:r>
        <w:rPr>
          <w:rtl w:val="true"/>
        </w:rPr>
        <w:t>הוגשו תעודות רפואיות על טיפול שקיבל בחדר המיון בעקבות חשד לשברים בעצמות פנים ופגיעה בעין שמאל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b/>
          <w:b/>
          <w:bCs/>
          <w:rtl w:val="true"/>
        </w:rPr>
        <w:t>תסקיר נפגע עבירה</w:t>
      </w:r>
      <w:r>
        <w:rPr>
          <w:rtl w:val="true"/>
        </w:rPr>
        <w:t xml:space="preserve">- </w:t>
      </w:r>
      <w:r>
        <w:rPr>
          <w:rtl w:val="true"/>
        </w:rPr>
        <w:t>בתסקיר שנערך בעניינו של חיים צוין כי הוא שב לעבודתו כיומיים לאחר הפגיעה</w:t>
      </w:r>
      <w:r>
        <w:rPr>
          <w:rtl w:val="true"/>
        </w:rPr>
        <w:t xml:space="preserve">, </w:t>
      </w:r>
      <w:r>
        <w:rPr>
          <w:rtl w:val="true"/>
        </w:rPr>
        <w:t>אולם בעקבות התקיפה הוא נדרש להתמודד עם המתח סביב המגע עם האסירים והתקשורת עימם</w:t>
      </w:r>
      <w:r>
        <w:rPr>
          <w:rtl w:val="true"/>
        </w:rPr>
        <w:t xml:space="preserve">, </w:t>
      </w:r>
      <w:r>
        <w:rPr>
          <w:rtl w:val="true"/>
        </w:rPr>
        <w:t>תהליך שלווה מבחינתו בתחושות של לחץ וחשש מפני פגיעה על ידי אסיר נוסף</w:t>
      </w:r>
      <w:r>
        <w:rPr>
          <w:rtl w:val="true"/>
        </w:rPr>
        <w:t xml:space="preserve">. </w:t>
      </w:r>
      <w:r>
        <w:rPr>
          <w:rtl w:val="true"/>
        </w:rPr>
        <w:t>לטענת חיים</w:t>
      </w:r>
      <w:r>
        <w:rPr>
          <w:rtl w:val="true"/>
        </w:rPr>
        <w:t xml:space="preserve">, </w:t>
      </w:r>
      <w:r>
        <w:rPr>
          <w:rtl w:val="true"/>
        </w:rPr>
        <w:t>מאז האירוע הוא מתנהל בדריכות וזהירות יתר מול האסירים מה שמסרבל את עבודתו</w:t>
      </w:r>
      <w:r>
        <w:rPr>
          <w:rtl w:val="true"/>
        </w:rPr>
        <w:t xml:space="preserve">, </w:t>
      </w:r>
      <w:r>
        <w:rPr>
          <w:rtl w:val="true"/>
        </w:rPr>
        <w:t>וגורם לפגיעה בדמוי העצמי שלו ובאופן בו הוא תופס את כוחותיו ויכולותיו</w:t>
      </w:r>
      <w:r>
        <w:rPr>
          <w:rtl w:val="true"/>
        </w:rPr>
        <w:t xml:space="preserve">. </w:t>
      </w:r>
      <w:r>
        <w:rPr>
          <w:rtl w:val="true"/>
        </w:rPr>
        <w:t>בחירתו של הנאשם לפגוע דווקא בו מעלה בו חששות בנוגע לאופן בו מתבוננים עליו אנשים</w:t>
      </w:r>
      <w:r>
        <w:rPr>
          <w:rtl w:val="true"/>
        </w:rPr>
        <w:t xml:space="preserve">, </w:t>
      </w:r>
      <w:r>
        <w:rPr>
          <w:rtl w:val="true"/>
        </w:rPr>
        <w:t>נסדקה עבורו התדמית הפיזית החזקה שראה בעצמו</w:t>
      </w:r>
      <w:r>
        <w:rPr>
          <w:rtl w:val="true"/>
        </w:rPr>
        <w:t xml:space="preserve">, </w:t>
      </w:r>
      <w:r>
        <w:rPr>
          <w:rtl w:val="true"/>
        </w:rPr>
        <w:t>אמונתו ביכולותיו נפגעה</w:t>
      </w:r>
      <w:r>
        <w:rPr>
          <w:rtl w:val="true"/>
        </w:rPr>
        <w:t xml:space="preserve">, </w:t>
      </w:r>
      <w:r>
        <w:rPr>
          <w:rtl w:val="true"/>
        </w:rPr>
        <w:t>התקשה להירדם כשהיה לבד בביתו</w:t>
      </w:r>
      <w:r>
        <w:rPr>
          <w:rtl w:val="true"/>
        </w:rPr>
        <w:t xml:space="preserve">, </w:t>
      </w:r>
      <w:r>
        <w:rPr>
          <w:rtl w:val="true"/>
        </w:rPr>
        <w:t>חווה סיוטים ליליים ומיעט לצאת לבילויים או למפגשים חברתיים בגלל התחבושת על פניו</w:t>
      </w:r>
      <w:r>
        <w:rPr>
          <w:rtl w:val="true"/>
        </w:rPr>
        <w:t xml:space="preserve">. </w:t>
      </w:r>
      <w:r>
        <w:rPr>
          <w:rtl w:val="true"/>
        </w:rPr>
        <w:t>הפגיעה הציפה בחיים זיכרונות ומראות קשים מתקופת שירותו הצבאי</w:t>
      </w:r>
      <w:r>
        <w:rPr>
          <w:rtl w:val="true"/>
        </w:rPr>
        <w:t xml:space="preserve">, </w:t>
      </w:r>
      <w:r>
        <w:rPr>
          <w:rtl w:val="true"/>
        </w:rPr>
        <w:t>הוא מתקשה לייצר קשרי חברות חדשים ומטופל על ידי פסיכותרפיסטית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  <w:t>נוכח המתואר בתסקיר</w:t>
      </w:r>
      <w:r>
        <w:rPr>
          <w:rtl w:val="true"/>
        </w:rPr>
        <w:t xml:space="preserve">, </w:t>
      </w:r>
      <w:r>
        <w:rPr>
          <w:rtl w:val="true"/>
        </w:rPr>
        <w:t>על מנת להעניק לחיים הכרה חברתית כנפגע על ידי הנאשם</w:t>
      </w:r>
      <w:r>
        <w:rPr>
          <w:rtl w:val="true"/>
        </w:rPr>
        <w:t xml:space="preserve">, </w:t>
      </w:r>
      <w:r>
        <w:rPr>
          <w:rtl w:val="true"/>
        </w:rPr>
        <w:t>הומלץ כי יוטל על הנאשם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פיצוי כספי משמעותי לחיים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טענות הצדדים לעונש</w:t>
      </w:r>
    </w:p>
    <w:p>
      <w:pPr>
        <w:pStyle w:val="11"/>
        <w:keepNext w:val="true"/>
        <w:numPr>
          <w:ilvl w:val="0"/>
          <w:numId w:val="3"/>
        </w:numPr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טענות המאשימה לעונש </w:t>
      </w:r>
    </w:p>
    <w:p>
      <w:pPr>
        <w:pStyle w:val="1"/>
        <w:ind w:end="0"/>
        <w:jc w:val="both"/>
        <w:rPr/>
      </w:pPr>
      <w:r>
        <w:rPr>
          <w:rtl w:val="true"/>
        </w:rPr>
        <w:t xml:space="preserve">המאשימה עתרה להשית על הנאשם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במצטבר לכל עונש מאסר אותו מרצה הנאשם וכן מאסר מותנה</w:t>
      </w:r>
      <w:r>
        <w:rPr>
          <w:rtl w:val="true"/>
        </w:rPr>
        <w:t xml:space="preserve">, </w:t>
      </w:r>
      <w:r>
        <w:rPr>
          <w:rtl w:val="true"/>
        </w:rPr>
        <w:t>קנס ופיצוי הולם למתלונן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  <w:t>המאשימה מבקשת לייחס משקל רב לעקרון ההלימה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הערכים החברתיים שנפגעו מביצוע העבירה הם שמירה על בטחונו האישי של הציבור</w:t>
      </w:r>
      <w:r>
        <w:rPr>
          <w:rtl w:val="true"/>
        </w:rPr>
        <w:t xml:space="preserve">, </w:t>
      </w:r>
      <w:r>
        <w:rPr>
          <w:rtl w:val="true"/>
        </w:rPr>
        <w:t>שלמות גופו וכבודו ושלטון החוק</w:t>
      </w:r>
      <w:r>
        <w:rPr>
          <w:rtl w:val="true"/>
        </w:rPr>
        <w:t xml:space="preserve">. </w:t>
      </w:r>
      <w:r>
        <w:rPr>
          <w:rtl w:val="true"/>
        </w:rPr>
        <w:t>במעשיו פגע הנאשם ברף העליון של הערכים המוגנים</w:t>
      </w:r>
      <w:r>
        <w:rPr>
          <w:rtl w:val="true"/>
        </w:rPr>
        <w:t xml:space="preserve">, </w:t>
      </w:r>
      <w:r>
        <w:rPr>
          <w:rtl w:val="true"/>
        </w:rPr>
        <w:t>תוך שהוא תוקף ופוצע עובד ציבור</w:t>
      </w:r>
      <w:r>
        <w:rPr>
          <w:rtl w:val="true"/>
        </w:rPr>
        <w:t xml:space="preserve">, </w:t>
      </w:r>
      <w:r>
        <w:rPr>
          <w:rtl w:val="true"/>
        </w:rPr>
        <w:t>על ידי שימוש בנשק קר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בהן הורשע הנאשם</w:t>
      </w:r>
      <w:r>
        <w:rPr>
          <w:rtl w:val="true"/>
        </w:rPr>
        <w:t xml:space="preserve">, </w:t>
      </w:r>
      <w:r>
        <w:rPr>
          <w:rtl w:val="true"/>
        </w:rPr>
        <w:t>מלמדות כי הנאשם נקט באלימות חמורה כאשר פגע במתלונן בפניו וצווארו</w:t>
      </w:r>
      <w:r>
        <w:rPr>
          <w:rtl w:val="true"/>
        </w:rPr>
        <w:t xml:space="preserve">, </w:t>
      </w:r>
      <w:r>
        <w:rPr>
          <w:rtl w:val="true"/>
        </w:rPr>
        <w:t>שהם אזורים רגישים וחיוניים</w:t>
      </w:r>
      <w:r>
        <w:rPr>
          <w:rtl w:val="true"/>
        </w:rPr>
        <w:t xml:space="preserve">, </w:t>
      </w:r>
      <w:r>
        <w:rPr>
          <w:rtl w:val="true"/>
        </w:rPr>
        <w:t>אלימות שהיה בה כדי להעמיד את המתלונן בסכנת חיים ממשית</w:t>
      </w:r>
      <w:r>
        <w:rPr>
          <w:rtl w:val="true"/>
        </w:rPr>
        <w:t xml:space="preserve">. </w:t>
      </w:r>
      <w:r>
        <w:rPr>
          <w:rtl w:val="true"/>
        </w:rPr>
        <w:t>נגרם לחיים נזק חמור כתוצאה ממעשה העבירה</w:t>
      </w:r>
      <w:r>
        <w:rPr>
          <w:rtl w:val="true"/>
        </w:rPr>
        <w:t xml:space="preserve">, </w:t>
      </w:r>
      <w:r>
        <w:rPr>
          <w:rtl w:val="true"/>
        </w:rPr>
        <w:t>ורק בשל תושייתו וסוהר נוסף</w:t>
      </w:r>
      <w:r>
        <w:rPr>
          <w:rtl w:val="true"/>
        </w:rPr>
        <w:t xml:space="preserve">, </w:t>
      </w:r>
      <w:r>
        <w:rPr>
          <w:rtl w:val="true"/>
        </w:rPr>
        <w:t>נמנעו תוצאות חמורות הרבה יותר</w:t>
      </w:r>
      <w:r>
        <w:rPr>
          <w:rtl w:val="true"/>
        </w:rPr>
        <w:t xml:space="preserve">. </w:t>
      </w:r>
      <w:r>
        <w:rPr>
          <w:rtl w:val="true"/>
        </w:rPr>
        <w:t>הנאשם ביצע את מעשיו בין כותלי בית הסוהר</w:t>
      </w:r>
      <w:r>
        <w:rPr>
          <w:rtl w:val="true"/>
        </w:rPr>
        <w:t xml:space="preserve">, </w:t>
      </w:r>
      <w:r>
        <w:rPr>
          <w:rtl w:val="true"/>
        </w:rPr>
        <w:t>כלפי סוהר</w:t>
      </w:r>
      <w:r>
        <w:rPr>
          <w:rtl w:val="true"/>
        </w:rPr>
        <w:t xml:space="preserve">, </w:t>
      </w:r>
      <w:r>
        <w:rPr>
          <w:rtl w:val="true"/>
        </w:rPr>
        <w:t>לאחר שהחליט לפגוע בו בשל היותו סוהר</w:t>
      </w:r>
      <w:r>
        <w:rPr>
          <w:rtl w:val="true"/>
        </w:rPr>
        <w:t>.</w:t>
      </w:r>
    </w:p>
    <w:p>
      <w:pPr>
        <w:pStyle w:val="1"/>
        <w:ind w:end="0"/>
        <w:jc w:val="both"/>
        <w:rPr>
          <w:b/>
          <w:bCs/>
        </w:rPr>
      </w:pPr>
      <w:r>
        <w:rPr>
          <w:rtl w:val="true"/>
        </w:rPr>
        <w:t>המאשימה הפנתה לפסיקה לעניין חומרת העבירה</w:t>
      </w:r>
      <w:r>
        <w:rPr>
          <w:rtl w:val="true"/>
        </w:rPr>
        <w:t xml:space="preserve">-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3573/08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2597/08</w:t>
        </w:r>
        <w:r>
          <w:rPr>
            <w:rStyle w:val="Hyperlink"/>
            <w:rtl w:val="true"/>
          </w:rPr>
          <w:t>;</w:t>
        </w:r>
      </w:hyperlink>
      <w:r>
        <w:rPr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5641/09</w:t>
        </w:r>
      </w:hyperlink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rtl w:val="true"/>
        </w:rPr>
        <w:t>לעניין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טוענת המאשימה שבית המשפט העליון עמד על הצורך בענישה משמעותית שתהווה גמול הולם לאינטרסים החשובים הנפגעים במקרים מסוג זה</w:t>
      </w:r>
      <w:r>
        <w:rPr>
          <w:rtl w:val="true"/>
        </w:rPr>
        <w:t xml:space="preserve">, </w:t>
      </w:r>
      <w:r>
        <w:rPr>
          <w:rtl w:val="true"/>
        </w:rPr>
        <w:t>תוך הפנייה ל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7360/13</w:t>
        </w:r>
      </w:hyperlink>
      <w:r>
        <w:rPr>
          <w:rtl w:val="true"/>
        </w:rPr>
        <w:t>,</w:t>
      </w:r>
      <w:r>
        <w:rPr>
          <w:u w:val="single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4631/13</w:t>
        </w:r>
      </w:hyperlink>
      <w:r>
        <w:rPr>
          <w:rtl w:val="true"/>
        </w:rPr>
        <w:t xml:space="preserve">, </w:t>
      </w:r>
      <w:hyperlink r:id="rId39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40025-01-13</w:t>
        </w:r>
      </w:hyperlink>
      <w:r>
        <w:rPr>
          <w:rtl w:val="true"/>
        </w:rPr>
        <w:t xml:space="preserve">,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1651/12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4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17212-11-12</w:t>
        </w:r>
      </w:hyperlink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sz w:val="24"/>
          <w:sz w:val="24"/>
          <w:rtl w:val="true"/>
        </w:rPr>
        <w:t>על בית המשפט להוציא מסר ברור וחד משמעי לעבריינים פוטנציאליים ולציבור כולו – לפיו בעבירות מסוג זה יושתו עונשים חמורים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 xml:space="preserve">המאשימה ביקשה </w:t>
      </w:r>
      <w:r>
        <w:rPr>
          <w:rtl w:val="true"/>
        </w:rPr>
        <w:t>להתחשב בשיקולי הרתעת הרבים והיחיד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בעבירה המאפיינת את </w:t>
      </w:r>
      <w:r>
        <w:rPr>
          <w:rtl w:val="true"/>
        </w:rPr>
        <w:t>"</w:t>
      </w:r>
      <w:r>
        <w:rPr>
          <w:rtl w:val="true"/>
        </w:rPr>
        <w:t>תת תרבות הסכין</w:t>
      </w:r>
      <w:r>
        <w:rPr>
          <w:rtl w:val="true"/>
        </w:rPr>
        <w:t xml:space="preserve">", </w:t>
      </w:r>
      <w:r>
        <w:rPr>
          <w:rtl w:val="true"/>
        </w:rPr>
        <w:t>קיימת חשיבות להרתעת הנאשם מחזרה על העבירה והרתעת הרבים</w:t>
      </w:r>
      <w:r>
        <w:rPr>
          <w:rtl w:val="true"/>
        </w:rPr>
        <w:t xml:space="preserve">, </w:t>
      </w:r>
      <w:r>
        <w:rPr>
          <w:rtl w:val="true"/>
        </w:rPr>
        <w:t>במיוחד כאשר מדובר באסיר שביצע עבירה כלפי איש סגל</w:t>
      </w:r>
      <w:r>
        <w:rPr>
          <w:rtl w:val="true"/>
        </w:rPr>
        <w:t xml:space="preserve">. </w:t>
      </w:r>
      <w:r>
        <w:rPr>
          <w:rtl w:val="true"/>
        </w:rPr>
        <w:t>נוכח זאת ומאחר שהנאשם לא חדל מפעילות עבריינית גם בין כותלי בית הסוהר</w:t>
      </w:r>
      <w:r>
        <w:rPr>
          <w:rtl w:val="true"/>
        </w:rPr>
        <w:t xml:space="preserve">, </w:t>
      </w:r>
      <w:r>
        <w:rPr>
          <w:rtl w:val="true"/>
        </w:rPr>
        <w:t>עותרת המאשימה להטיל על הנאשם עונש ראוי של חמש 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ופיצוי למתלונן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 הנאשם לעונש</w:t>
      </w:r>
    </w:p>
    <w:p>
      <w:pPr>
        <w:pStyle w:val="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טען כי מתחם הענישה הנהוג במקרים מסוג זה הינו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עד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בלבד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הגם שמדובר באסיר בטחוני</w:t>
      </w:r>
      <w:r>
        <w:rPr>
          <w:rtl w:val="true"/>
        </w:rPr>
        <w:t xml:space="preserve">, </w:t>
      </w:r>
      <w:r>
        <w:rPr>
          <w:rtl w:val="true"/>
        </w:rPr>
        <w:t>לא מדובר באירוע שבוצע על רקע לאומני</w:t>
      </w:r>
      <w:r>
        <w:rPr>
          <w:rtl w:val="true"/>
        </w:rPr>
        <w:t xml:space="preserve">, </w:t>
      </w:r>
      <w:r>
        <w:rPr>
          <w:rtl w:val="true"/>
        </w:rPr>
        <w:t>אלא בתקיפה שהחלה בשל חששו של הנאשם שהסוהרים מתנכלים לו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טוען כי הסוהרים השתלטו על הנאשם בקלות ובמהירות תוך הפעלת כוח בלתי סביר ומוגזם עד כי נגרמו לנאשם שברים בעצמות האף ושטפי דם בעיניים</w:t>
      </w:r>
      <w:r>
        <w:rPr>
          <w:rtl w:val="true"/>
        </w:rPr>
        <w:t xml:space="preserve">. </w:t>
      </w:r>
      <w:r>
        <w:rPr>
          <w:rtl w:val="true"/>
        </w:rPr>
        <w:t>הנאשם נזקק לקבלת טיפול רפואי ואף אושפז בבית החולים למשך שבוע ימים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הנאשם הוענש גם בין כותלי בית הסוהר</w:t>
      </w:r>
      <w:r>
        <w:rPr>
          <w:rtl w:val="true"/>
        </w:rPr>
        <w:t xml:space="preserve">, </w:t>
      </w:r>
      <w:r>
        <w:rPr>
          <w:rtl w:val="true"/>
        </w:rPr>
        <w:t>בכך שנשלח להפרדה ובידוד למשך שנה וחצי ונשללו ממנו ביקורים וגם השימוש בקנטינה</w:t>
      </w:r>
      <w:r>
        <w:rPr>
          <w:rtl w:val="true"/>
        </w:rPr>
        <w:t xml:space="preserve">, </w:t>
      </w:r>
      <w:r>
        <w:rPr>
          <w:rtl w:val="true"/>
        </w:rPr>
        <w:t>בעוד שעל פי עדותו של המתלונן ועל פי תסקיר נפגע העבירה שנערך בעניינו</w:t>
      </w:r>
      <w:r>
        <w:rPr>
          <w:rtl w:val="true"/>
        </w:rPr>
        <w:t xml:space="preserve">, </w:t>
      </w:r>
      <w:r>
        <w:rPr>
          <w:rtl w:val="true"/>
        </w:rPr>
        <w:t>הלה חזר לעבודה יומיים לאחר המקרה והמשיך לבצע את אותו התפקיד שמילא קודם לכן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  <w:t>אשר לפסיקה שהגישה המאשימה לתמיכה בטענותיה</w:t>
      </w:r>
      <w:r>
        <w:rPr>
          <w:rtl w:val="true"/>
        </w:rPr>
        <w:t xml:space="preserve">, </w:t>
      </w:r>
      <w:r>
        <w:rPr>
          <w:rtl w:val="true"/>
        </w:rPr>
        <w:t>טוען ב</w:t>
      </w:r>
      <w:r>
        <w:rPr>
          <w:rtl w:val="true"/>
        </w:rPr>
        <w:t>"</w:t>
      </w:r>
      <w:r>
        <w:rPr>
          <w:rtl w:val="true"/>
        </w:rPr>
        <w:t>כ הנאשם כי היא אינה תואמת את נסיבות המקרה שבפנינו</w:t>
      </w:r>
      <w:r>
        <w:rPr>
          <w:rtl w:val="true"/>
        </w:rPr>
        <w:t xml:space="preserve">. </w:t>
      </w:r>
      <w:r>
        <w:rPr>
          <w:rtl w:val="true"/>
        </w:rPr>
        <w:t>שם דובר בתקיפה תוך כדי שימוש בסכין</w:t>
      </w:r>
      <w:r>
        <w:rPr>
          <w:rtl w:val="true"/>
        </w:rPr>
        <w:t xml:space="preserve">, </w:t>
      </w:r>
      <w:r>
        <w:rPr>
          <w:rtl w:val="true"/>
        </w:rPr>
        <w:t>בעוד שבעניינו של הנאשם מדובר בתקיפה באמצעות חוט ברזל שהנזק שיכול להיגרם ממנו קטן משמעותית מזה שיכול היה להיגרם משימוש בסכין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מפנה ל</w:t>
      </w:r>
      <w:hyperlink r:id="rId42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 xml:space="preserve">פ </w:t>
        </w:r>
        <w:r>
          <w:rPr>
            <w:rStyle w:val="Hyperlink"/>
            <w:sz w:val="24"/>
          </w:rPr>
          <w:t>20828-06-15</w:t>
        </w:r>
      </w:hyperlink>
      <w:r>
        <w:rPr>
          <w:sz w:val="24"/>
          <w:rtl w:val="true"/>
        </w:rPr>
        <w:t xml:space="preserve">, </w:t>
      </w:r>
      <w:hyperlink r:id="rId43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 xml:space="preserve">פ </w:t>
        </w:r>
        <w:r>
          <w:rPr>
            <w:rStyle w:val="Hyperlink"/>
            <w:sz w:val="24"/>
          </w:rPr>
          <w:t>46386-04-13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hyperlink r:id="rId44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 xml:space="preserve">פ </w:t>
        </w:r>
        <w:r>
          <w:rPr>
            <w:rStyle w:val="Hyperlink"/>
            <w:sz w:val="24"/>
          </w:rPr>
          <w:t>35169-06-12</w:t>
        </w:r>
      </w:hyperlink>
      <w:r>
        <w:rPr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tl w:val="true"/>
        </w:rPr>
        <w:t>לסיכום טענותיו הוסיף ב</w:t>
      </w:r>
      <w:r>
        <w:rPr>
          <w:rtl w:val="true"/>
        </w:rPr>
        <w:t>"</w:t>
      </w:r>
      <w:r>
        <w:rPr>
          <w:rtl w:val="true"/>
        </w:rPr>
        <w:t xml:space="preserve">כ הנאשם וטען כי מדובר בתושב שטחים שנכנס לכלא כשהוא צעיר 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ונידון ל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בלא כל אפיק שיקומי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 הנאשם</w:t>
      </w:r>
    </w:p>
    <w:p>
      <w:pPr>
        <w:pStyle w:val="1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 המילה האחרונה</w:t>
      </w:r>
      <w:r>
        <w:rPr>
          <w:rtl w:val="true"/>
        </w:rPr>
        <w:t xml:space="preserve">, </w:t>
      </w:r>
      <w:r>
        <w:rPr>
          <w:rtl w:val="true"/>
        </w:rPr>
        <w:t>אמר שהוא מצטער על מעשיו</w:t>
      </w:r>
      <w:r>
        <w:rPr>
          <w:rtl w:val="true"/>
        </w:rPr>
        <w:t xml:space="preserve">. </w:t>
      </w:r>
    </w:p>
    <w:p>
      <w:pPr>
        <w:pStyle w:val="01"/>
        <w:ind w:end="0"/>
        <w:jc w:val="both"/>
        <w:rPr/>
      </w:pPr>
      <w:r>
        <w:rPr>
          <w:rtl w:val="true"/>
        </w:rPr>
        <w:t>דיון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הנאשם הורשע בביצוע עבירה חמורה מאוד</w:t>
      </w:r>
      <w:r>
        <w:rPr>
          <w:rtl w:val="true"/>
        </w:rPr>
        <w:t xml:space="preserve">- </w:t>
      </w:r>
      <w:r>
        <w:rPr>
          <w:rtl w:val="true"/>
        </w:rPr>
        <w:t>בהיותו אסיר</w:t>
      </w:r>
      <w:r>
        <w:rPr>
          <w:rtl w:val="true"/>
        </w:rPr>
        <w:t xml:space="preserve">, </w:t>
      </w:r>
      <w:r>
        <w:rPr>
          <w:rtl w:val="true"/>
        </w:rPr>
        <w:t>הוא תקף סוהר באכזריות</w:t>
      </w:r>
      <w:r>
        <w:rPr>
          <w:rtl w:val="true"/>
        </w:rPr>
        <w:t xml:space="preserve">, </w:t>
      </w:r>
      <w:r>
        <w:rPr>
          <w:rtl w:val="true"/>
        </w:rPr>
        <w:t>באמצעות חפץ חד שהסתיר בבגדיו</w:t>
      </w:r>
      <w:r>
        <w:rPr>
          <w:rtl w:val="true"/>
        </w:rPr>
        <w:t xml:space="preserve">, </w:t>
      </w:r>
      <w:r>
        <w:rPr>
          <w:rtl w:val="true"/>
        </w:rPr>
        <w:t>ודקר אותו בפניו ובצווארו</w:t>
      </w:r>
      <w:r>
        <w:rPr>
          <w:rtl w:val="true"/>
        </w:rPr>
        <w:t xml:space="preserve">. </w:t>
      </w:r>
      <w:r>
        <w:rPr>
          <w:rtl w:val="true"/>
        </w:rPr>
        <w:t>הנזק הגופני שיכול היה להיגרם לסוהר היה חמור ביותר</w:t>
      </w:r>
      <w:r>
        <w:rPr>
          <w:rtl w:val="true"/>
        </w:rPr>
        <w:t xml:space="preserve">, </w:t>
      </w:r>
      <w:r>
        <w:rPr>
          <w:rtl w:val="true"/>
        </w:rPr>
        <w:t>וזאת נוכח האיברים בהם נגרמה הפגיעה</w:t>
      </w:r>
      <w:r>
        <w:rPr>
          <w:rtl w:val="true"/>
        </w:rPr>
        <w:t xml:space="preserve">- </w:t>
      </w:r>
      <w:r>
        <w:rPr>
          <w:rtl w:val="true"/>
        </w:rPr>
        <w:t>הפנים והצוואר</w:t>
      </w:r>
      <w:r>
        <w:rPr>
          <w:rtl w:val="true"/>
        </w:rPr>
        <w:t xml:space="preserve">, </w:t>
      </w:r>
      <w:r>
        <w:rPr>
          <w:rtl w:val="true"/>
        </w:rPr>
        <w:t>אך למרבה המזל</w:t>
      </w:r>
      <w:r>
        <w:rPr>
          <w:rtl w:val="true"/>
        </w:rPr>
        <w:t xml:space="preserve">, </w:t>
      </w:r>
      <w:r>
        <w:rPr>
          <w:rtl w:val="true"/>
        </w:rPr>
        <w:t>הנזק הגופני שנגרם בפועל</w:t>
      </w:r>
      <w:r>
        <w:rPr>
          <w:rtl w:val="true"/>
        </w:rPr>
        <w:t xml:space="preserve">, </w:t>
      </w:r>
      <w:r>
        <w:rPr>
          <w:rtl w:val="true"/>
        </w:rPr>
        <w:t>לא היה משמעותי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כעולה מתסקיר נפגע העבירה</w:t>
      </w:r>
      <w:r>
        <w:rPr>
          <w:rtl w:val="true"/>
        </w:rPr>
        <w:t xml:space="preserve">, </w:t>
      </w:r>
      <w:r>
        <w:rPr>
          <w:rtl w:val="true"/>
        </w:rPr>
        <w:t>הנזקים הנפשיים שנגרמו לחיים לא היו קלים ועד היום הוא נושא צלקות נפשיות בשל האירוע</w:t>
      </w:r>
      <w:r>
        <w:rPr>
          <w:rtl w:val="true"/>
        </w:rPr>
        <w:t xml:space="preserve">, </w:t>
      </w:r>
      <w:r>
        <w:rPr>
          <w:rtl w:val="true"/>
        </w:rPr>
        <w:t>המגבילות אותו בחיי החברה ובעבודתו</w:t>
      </w:r>
      <w:r>
        <w:rPr>
          <w:rtl w:val="true"/>
        </w:rPr>
        <w:t>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החברה שולחת את הסוהרים למקום מסוכן</w:t>
      </w:r>
      <w:r>
        <w:rPr>
          <w:rtl w:val="true"/>
        </w:rPr>
        <w:t xml:space="preserve">, </w:t>
      </w:r>
      <w:r>
        <w:rPr>
          <w:rtl w:val="true"/>
        </w:rPr>
        <w:t>רווי אלימות</w:t>
      </w:r>
      <w:r>
        <w:rPr>
          <w:rtl w:val="true"/>
        </w:rPr>
        <w:t xml:space="preserve">, </w:t>
      </w:r>
      <w:r>
        <w:rPr>
          <w:rtl w:val="true"/>
        </w:rPr>
        <w:t>על מנת להגן עליה מפני עבריינים</w:t>
      </w:r>
      <w:r>
        <w:rPr>
          <w:rtl w:val="true"/>
        </w:rPr>
        <w:t xml:space="preserve">, </w:t>
      </w:r>
      <w:r>
        <w:rPr>
          <w:rtl w:val="true"/>
        </w:rPr>
        <w:t>כולל כאלה שעברו עבירות אלימות ואחרות</w:t>
      </w:r>
      <w:r>
        <w:rPr>
          <w:rtl w:val="true"/>
        </w:rPr>
        <w:t xml:space="preserve">, </w:t>
      </w:r>
      <w:r>
        <w:rPr>
          <w:rtl w:val="true"/>
        </w:rPr>
        <w:t>מן החמורות שבספר החוקים</w:t>
      </w:r>
      <w:r>
        <w:rPr>
          <w:rtl w:val="true"/>
        </w:rPr>
        <w:t xml:space="preserve">. </w:t>
      </w:r>
      <w:r>
        <w:rPr>
          <w:rtl w:val="true"/>
        </w:rPr>
        <w:t>על בית המשפט להגיב בחומרה על פגיעה בסוהרים</w:t>
      </w:r>
      <w:r>
        <w:rPr>
          <w:rtl w:val="true"/>
        </w:rPr>
        <w:t xml:space="preserve">, </w:t>
      </w:r>
      <w:r>
        <w:rPr>
          <w:rtl w:val="true"/>
        </w:rPr>
        <w:t>על מנת לתרום את חלקו בהגנה עליהם ולמאבק נגד גילויי אלימות נגדם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מתחם העונש ההולם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הערכים המוגנים שנפגעו מביצוע העבירה הם ביטחון ושלום הציבור</w:t>
      </w:r>
      <w:r>
        <w:rPr>
          <w:rtl w:val="true"/>
        </w:rPr>
        <w:t xml:space="preserve">, </w:t>
      </w:r>
      <w:r>
        <w:rPr>
          <w:rtl w:val="true"/>
        </w:rPr>
        <w:t>שלמות גופו וכבודו</w:t>
      </w:r>
      <w:r>
        <w:rPr>
          <w:rtl w:val="true"/>
        </w:rPr>
        <w:t xml:space="preserve">, </w:t>
      </w:r>
      <w:r>
        <w:rPr>
          <w:rtl w:val="true"/>
        </w:rPr>
        <w:t>שמירה על אנשי חוק ושלטון החוק והסדר הציבורי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מידת הפגיעה בערכים היא גבוהה</w:t>
      </w:r>
      <w:r>
        <w:rPr>
          <w:rtl w:val="true"/>
        </w:rPr>
        <w:t xml:space="preserve">, </w:t>
      </w:r>
      <w:r>
        <w:rPr>
          <w:rtl w:val="true"/>
        </w:rPr>
        <w:t>בשל חומרת התקיפה והעובדה שהעבירות בוצעו בתחומי הכלא</w:t>
      </w:r>
      <w:r>
        <w:rPr>
          <w:rtl w:val="true"/>
        </w:rPr>
        <w:t xml:space="preserve">, </w:t>
      </w:r>
      <w:r>
        <w:rPr>
          <w:rtl w:val="true"/>
        </w:rPr>
        <w:t>כנגד עובד ציבור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מדיניות הענישה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הנאשם הורשע בעבירת אלימות קשה בעודו מרצה עונש מאסר ממושך בגין עבירות חמורות</w:t>
      </w:r>
      <w:r>
        <w:rPr>
          <w:rtl w:val="true"/>
        </w:rPr>
        <w:t xml:space="preserve">. </w:t>
      </w:r>
      <w:r>
        <w:rPr>
          <w:rtl w:val="true"/>
        </w:rPr>
        <w:t>תקיפתו של הסוהר על ידי הנאשם נעשתה כאשר הופנה הנאשם לקבלת טיפול רפואי</w:t>
      </w:r>
      <w:r>
        <w:rPr>
          <w:rtl w:val="true"/>
        </w:rPr>
        <w:t xml:space="preserve">, </w:t>
      </w:r>
      <w:r>
        <w:rPr>
          <w:rtl w:val="true"/>
        </w:rPr>
        <w:t>למול עיניי הסוהרים</w:t>
      </w:r>
      <w:r>
        <w:rPr>
          <w:rtl w:val="true"/>
        </w:rPr>
        <w:t xml:space="preserve">, </w:t>
      </w:r>
      <w:r>
        <w:rPr>
          <w:rtl w:val="true"/>
        </w:rPr>
        <w:t>בין כותלי בית הסוהר</w:t>
      </w:r>
      <w:r>
        <w:rPr>
          <w:rtl w:val="true"/>
        </w:rPr>
        <w:t xml:space="preserve">, </w:t>
      </w:r>
      <w:r>
        <w:rPr>
          <w:rtl w:val="true"/>
        </w:rPr>
        <w:t>באמצעות נשק קר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בית המשפט העליון חזר ופסק כי במקרי אלימות שכאלה המתבצעים בין כותלי בית הסוהר מתבקשת ענישה ראויה ומשמעותית למען הרתעתם של אחרים ולמען הרתעתם של הנאשמים עצמם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5622/92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מאיר איפרגן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16/3/94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Quote"/>
        <w:ind w:end="284"/>
        <w:jc w:val="both"/>
        <w:rPr/>
      </w:pPr>
      <w:r>
        <w:rPr>
          <w:rtl w:val="true"/>
        </w:rPr>
        <w:t>"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...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.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." </w:t>
      </w:r>
    </w:p>
    <w:p>
      <w:pPr>
        <w:pStyle w:val="1"/>
        <w:ind w:end="0"/>
        <w:jc w:val="both"/>
        <w:rPr/>
      </w:pPr>
      <w:r>
        <w:rPr>
          <w:rtl w:val="true"/>
        </w:rPr>
        <w:t>ובמיוחד כאשר מדובר בתקיפת עובד ציבור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10049/08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ראתב אבו עצא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23/8/12</w:t>
      </w:r>
      <w:r>
        <w:rPr>
          <w:rtl w:val="true"/>
        </w:rPr>
        <w:t>):</w:t>
      </w:r>
    </w:p>
    <w:p>
      <w:pPr>
        <w:pStyle w:val="Quote"/>
        <w:ind w:end="284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>"</w:t>
      </w:r>
    </w:p>
    <w:p>
      <w:pPr>
        <w:pStyle w:val="1"/>
        <w:ind w:end="0"/>
        <w:jc w:val="both"/>
        <w:rPr/>
      </w:pPr>
      <w:r>
        <w:rPr>
          <w:rtl w:val="true"/>
        </w:rPr>
        <w:t>לעניין תקיפת עובדי ציבור</w:t>
      </w:r>
      <w:r>
        <w:rPr>
          <w:rtl w:val="true"/>
        </w:rPr>
        <w:t xml:space="preserve">, </w:t>
      </w:r>
      <w:r>
        <w:rPr>
          <w:rtl w:val="true"/>
        </w:rPr>
        <w:t xml:space="preserve">ראו גם 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4565/13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אמון חאלד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4/11/13</w:t>
      </w:r>
      <w:r>
        <w:rPr>
          <w:rtl w:val="true"/>
        </w:rPr>
        <w:t>):</w:t>
      </w:r>
    </w:p>
    <w:p>
      <w:pPr>
        <w:pStyle w:val="Quote"/>
        <w:ind w:end="284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בליבתו</w:t>
      </w:r>
      <w:r>
        <w:rPr>
          <w:rtl w:val="true"/>
        </w:rPr>
        <w:t>.".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הפסיקה הנוהגת</w:t>
      </w:r>
    </w:p>
    <w:p>
      <w:pPr>
        <w:pStyle w:val="11"/>
        <w:keepNext w:val="true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סקירת הפסיקה הנוהגת בהתייחס לעבירות בהן הורשע הנאשם בנסיבות הדומות לענייננו</w:t>
      </w:r>
      <w:r>
        <w:rPr>
          <w:rtl w:val="true"/>
        </w:rPr>
        <w:t xml:space="preserve">, </w:t>
      </w:r>
      <w:r>
        <w:rPr>
          <w:rtl w:val="true"/>
        </w:rPr>
        <w:t>מלמדת על ענישה של מאסר משמעותי בפועל</w:t>
      </w:r>
      <w:r>
        <w:rPr>
          <w:rtl w:val="true"/>
        </w:rPr>
        <w:t>:</w:t>
      </w:r>
    </w:p>
    <w:p>
      <w:pPr>
        <w:pStyle w:val="1"/>
        <w:ind w:end="0"/>
        <w:jc w:val="both"/>
        <w:rPr/>
      </w:pPr>
      <w:hyperlink r:id="rId48">
        <w:r>
          <w:rPr>
            <w:rStyle w:val="Hyperlink"/>
            <w:b/>
            <w:b/>
            <w:bCs/>
            <w:rtl w:val="true"/>
          </w:rPr>
          <w:t>עפ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ג </w:t>
        </w:r>
        <w:r>
          <w:rPr>
            <w:rStyle w:val="Hyperlink"/>
            <w:b/>
            <w:bCs/>
          </w:rPr>
          <w:t>11075-05-13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עווד צעידי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6/11/13</w:t>
      </w:r>
      <w:r>
        <w:rPr>
          <w:rtl w:val="true"/>
        </w:rPr>
        <w:t xml:space="preserve">):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תושב עזה</w:t>
      </w:r>
      <w:r>
        <w:rPr>
          <w:rtl w:val="true"/>
        </w:rPr>
        <w:t xml:space="preserve">, </w:t>
      </w:r>
      <w:r>
        <w:rPr>
          <w:rtl w:val="true"/>
        </w:rPr>
        <w:t>המרצה עונש מאסר בגין עבירות ביטחון</w:t>
      </w:r>
      <w:r>
        <w:rPr>
          <w:rtl w:val="true"/>
        </w:rPr>
        <w:t xml:space="preserve">, </w:t>
      </w:r>
      <w:r>
        <w:rPr>
          <w:rtl w:val="true"/>
        </w:rPr>
        <w:t>הורשע בבית משפט השלום בכך שחתך סוהר פעמיים בפניו בחפץ מתכתי</w:t>
      </w:r>
      <w:r>
        <w:rPr>
          <w:rtl w:val="true"/>
        </w:rPr>
        <w:t xml:space="preserve">. </w:t>
      </w:r>
      <w:r>
        <w:rPr>
          <w:rtl w:val="true"/>
        </w:rPr>
        <w:t>המערער הורשע בעבירה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בנסיבות 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שהמתחם ההולם הוא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המערער מאסר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במצטבר לעונש המאסר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אותו הוא מרצה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דחה את הערעור בקשר לעונש המאסר </w:t>
      </w:r>
      <w:r>
        <w:rPr>
          <w:rtl w:val="true"/>
        </w:rPr>
        <w:t>(</w:t>
      </w:r>
      <w:r>
        <w:rPr>
          <w:rtl w:val="true"/>
        </w:rPr>
        <w:t>אך ביטל קנס שהושת על המערער</w:t>
      </w:r>
      <w:r>
        <w:rPr>
          <w:rtl w:val="true"/>
        </w:rPr>
        <w:t>).</w:t>
      </w:r>
    </w:p>
    <w:p>
      <w:pPr>
        <w:pStyle w:val="1"/>
        <w:ind w:end="0"/>
        <w:jc w:val="both"/>
        <w:rPr/>
      </w:pPr>
      <w:hyperlink r:id="rId5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מחוזי 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8064/98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שוקרי אחמד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5/4/01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 היה אסיר במועד הרלוונטי</w:t>
      </w:r>
      <w:r>
        <w:rPr>
          <w:rtl w:val="true"/>
        </w:rPr>
        <w:t xml:space="preserve">, </w:t>
      </w:r>
      <w:r>
        <w:rPr>
          <w:rtl w:val="true"/>
        </w:rPr>
        <w:t>הובא לבדיקה במרפאת הכלא</w:t>
      </w:r>
      <w:r>
        <w:rPr>
          <w:rtl w:val="true"/>
        </w:rPr>
        <w:t xml:space="preserve">, </w:t>
      </w:r>
      <w:r>
        <w:rPr>
          <w:rtl w:val="true"/>
        </w:rPr>
        <w:t>דקר את רופא הכלא באמצעות דוקרן שהחביא בבגדיו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הורשע בעבירה לפי 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וסעיפים נוספים</w:t>
      </w:r>
      <w:r>
        <w:rPr>
          <w:rtl w:val="true"/>
        </w:rPr>
        <w:t xml:space="preserve">), </w:t>
      </w:r>
      <w:r>
        <w:rPr>
          <w:rtl w:val="true"/>
        </w:rPr>
        <w:t xml:space="preserve">ונגזרו עליו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tl w:val="true"/>
        </w:rPr>
        <w:t xml:space="preserve"> מאסר</w:t>
      </w:r>
      <w:r>
        <w:rPr>
          <w:rtl w:val="true"/>
        </w:rPr>
        <w:t xml:space="preserve">, </w:t>
      </w:r>
      <w:r>
        <w:rPr>
          <w:rtl w:val="true"/>
        </w:rPr>
        <w:t>במצטבר לתקופת מאסרו</w:t>
      </w:r>
      <w:r>
        <w:rPr>
          <w:rtl w:val="true"/>
        </w:rPr>
        <w:t xml:space="preserve">, </w:t>
      </w:r>
      <w:r>
        <w:rPr>
          <w:rtl w:val="true"/>
        </w:rPr>
        <w:t>תוך שבית המשפט מציין שהוא אינו ממצה את הדין עם הנאשם</w:t>
      </w:r>
      <w:r>
        <w:rPr>
          <w:rtl w:val="true"/>
        </w:rPr>
        <w:t xml:space="preserve">, </w:t>
      </w:r>
      <w:r>
        <w:rPr>
          <w:rtl w:val="true"/>
        </w:rPr>
        <w:t>נוכח מצב בריאותו הלקוי ונוכח תקופת המאסר הארוכה שעליו לרצות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hyperlink r:id="rId5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מחוזי נצ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b/>
            <w:bCs/>
            <w:color w:val="0000FF"/>
            <w:u w:val="single"/>
          </w:rPr>
          <w:t>1142/04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מראד אבו רכאב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5/7/05</w:t>
      </w:r>
      <w:r>
        <w:rPr>
          <w:rtl w:val="true"/>
        </w:rPr>
        <w:t xml:space="preserve">):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היה למטה מגיל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 ביצוע העבירה וריצה עונש מאסר ארוך בבית הכלא</w:t>
      </w:r>
      <w:r>
        <w:rPr>
          <w:rtl w:val="true"/>
        </w:rPr>
        <w:t xml:space="preserve">, </w:t>
      </w:r>
      <w:r>
        <w:rPr>
          <w:rtl w:val="true"/>
        </w:rPr>
        <w:t xml:space="preserve">הורשע בעבירה לפי </w:t>
      </w:r>
      <w:hyperlink r:id="rId56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 ששפך שמן רותח לעבר שני סוהרים</w:t>
      </w:r>
      <w:r>
        <w:rPr>
          <w:rtl w:val="true"/>
        </w:rPr>
        <w:t xml:space="preserve">, </w:t>
      </w:r>
      <w:r>
        <w:rPr>
          <w:rtl w:val="true"/>
        </w:rPr>
        <w:t xml:space="preserve">ונגזר עליו עונש מאסר של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במצטבר לעונש אותו הוא מרצה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hyperlink r:id="rId5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9385/10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חוסיין אבו צעלוק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27/12/11</w:t>
      </w:r>
      <w:r>
        <w:rPr>
          <w:rtl w:val="true"/>
        </w:rPr>
        <w:t xml:space="preserve">): </w:t>
      </w:r>
      <w:r>
        <w:rPr>
          <w:rtl w:val="true"/>
        </w:rPr>
        <w:t>המערער הורשע בחבלה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בנסיבות </w:t>
      </w:r>
      <w:hyperlink r:id="rId60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 כך שחתך אסיר אחר בצוואר ובחזה</w:t>
      </w:r>
      <w:r>
        <w:rPr>
          <w:rtl w:val="true"/>
        </w:rPr>
        <w:t xml:space="preserve">, </w:t>
      </w:r>
      <w:r>
        <w:rPr>
          <w:rtl w:val="true"/>
        </w:rPr>
        <w:t>באמצעות מכסה של קופסת שימורים</w:t>
      </w:r>
      <w:r>
        <w:rPr>
          <w:rtl w:val="true"/>
        </w:rPr>
        <w:t xml:space="preserve">.  </w:t>
      </w:r>
      <w:r>
        <w:rPr>
          <w:rtl w:val="true"/>
        </w:rPr>
        <w:t xml:space="preserve">בית המשפט המחוזי גזר על הנאשם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tl w:val="true"/>
        </w:rPr>
        <w:t xml:space="preserve"> מאסר ובית המשפט העליון דחה את הערעור</w:t>
      </w:r>
      <w:r>
        <w:rPr>
          <w:rtl w:val="true"/>
        </w:rPr>
        <w:t xml:space="preserve">, </w:t>
      </w:r>
      <w:r>
        <w:rPr>
          <w:rtl w:val="true"/>
        </w:rPr>
        <w:t>תוך שהוא מציין לחומרה את העובדה שהעבירה בוצעה בתוך כותלי בית הסוהר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hyperlink r:id="rId6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6347/12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שי מרה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13/5/13</w:t>
      </w:r>
      <w:r>
        <w:rPr>
          <w:rtl w:val="true"/>
        </w:rPr>
        <w:t xml:space="preserve">): </w:t>
      </w:r>
      <w:r>
        <w:rPr>
          <w:rtl w:val="true"/>
        </w:rPr>
        <w:t xml:space="preserve">המשיב הורשע בעבירה לפי </w:t>
      </w:r>
      <w:hyperlink r:id="rId63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וסעיפים נוספים</w:t>
      </w:r>
      <w:r>
        <w:rPr>
          <w:rtl w:val="true"/>
        </w:rPr>
        <w:t xml:space="preserve">), </w:t>
      </w:r>
      <w:r>
        <w:rPr>
          <w:rtl w:val="true"/>
        </w:rPr>
        <w:t>בכך שכאשר היה אסיר</w:t>
      </w:r>
      <w:r>
        <w:rPr>
          <w:rtl w:val="true"/>
        </w:rPr>
        <w:t xml:space="preserve">, </w:t>
      </w:r>
      <w:r>
        <w:rPr>
          <w:rtl w:val="true"/>
        </w:rPr>
        <w:t>שפך דלי מים רותחים על ראשו של אסיר</w:t>
      </w:r>
      <w:r>
        <w:rPr>
          <w:rtl w:val="true"/>
        </w:rPr>
        <w:t xml:space="preserve">, </w:t>
      </w:r>
      <w:r>
        <w:rPr>
          <w:rtl w:val="true"/>
        </w:rPr>
        <w:t>הכה אסיר נוסף עם הדלי ושפך עליו את שארית המים הרותחים שנותרו</w:t>
      </w:r>
      <w:r>
        <w:rPr>
          <w:rtl w:val="true"/>
        </w:rPr>
        <w:t xml:space="preserve">, </w:t>
      </w:r>
      <w:r>
        <w:rPr>
          <w:rtl w:val="true"/>
        </w:rPr>
        <w:t>הכה אותו באגרופים ובבעיטות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עליו עונש מאסר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בהתחשב בגילו הצעיר</w:t>
      </w:r>
      <w:r>
        <w:rPr>
          <w:rtl w:val="true"/>
        </w:rPr>
        <w:t xml:space="preserve">, </w:t>
      </w:r>
      <w:r>
        <w:rPr>
          <w:rtl w:val="true"/>
        </w:rPr>
        <w:t>נכונותו להודות בעבירות שיוחסו לו ובנסיבות חיו</w:t>
      </w:r>
      <w:r>
        <w:rPr>
          <w:rtl w:val="true"/>
        </w:rPr>
        <w:t xml:space="preserve">. </w:t>
      </w:r>
      <w:r>
        <w:rPr>
          <w:rtl w:val="true"/>
        </w:rPr>
        <w:t>בית המשפט העליון קיבל את הערעור והחמיר את עונשו של המשיב ל</w:t>
      </w:r>
      <w:r>
        <w:rPr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תוך שהוא מציין לחומרה שהעבירה בוצעה בין כותלי הכלא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hyperlink r:id="rId6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54416-01-13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עמאר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14/10/13</w:t>
      </w:r>
      <w:r>
        <w:rPr>
          <w:rtl w:val="true"/>
        </w:rPr>
        <w:t xml:space="preserve">): </w:t>
      </w:r>
      <w:r>
        <w:rPr>
          <w:rtl w:val="true"/>
        </w:rPr>
        <w:t xml:space="preserve">הנאשם הורשע בעבירות לפי </w:t>
      </w:r>
      <w:hyperlink r:id="rId6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ועבירות נוספות</w:t>
      </w:r>
      <w:r>
        <w:rPr>
          <w:rtl w:val="true"/>
        </w:rPr>
        <w:t xml:space="preserve">), </w:t>
      </w:r>
      <w:r>
        <w:rPr>
          <w:rtl w:val="true"/>
        </w:rPr>
        <w:t>בכך שחתך את המתלונן בפניו</w:t>
      </w:r>
      <w:r>
        <w:rPr>
          <w:rtl w:val="true"/>
        </w:rPr>
        <w:t xml:space="preserve">, </w:t>
      </w:r>
      <w:r>
        <w:rPr>
          <w:rtl w:val="true"/>
        </w:rPr>
        <w:t>חתך ארוך ועמוק מאזור אוזנו השמאלית ועד מעל שפתו העליונה ולרוחב לחיו השמאלית של המתלונן</w:t>
      </w:r>
      <w:r>
        <w:rPr>
          <w:rtl w:val="true"/>
        </w:rPr>
        <w:t xml:space="preserve">, </w:t>
      </w:r>
      <w:r>
        <w:rPr>
          <w:rtl w:val="true"/>
        </w:rPr>
        <w:t>באמצעות סכין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מתחם הענישה לעבירה בה הורשע הנאשם הוא בין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שנים והשית על הנאשם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hyperlink r:id="rId6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1651/12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 יטח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4/7/16</w:t>
      </w:r>
      <w:r>
        <w:rPr>
          <w:rtl w:val="true"/>
        </w:rPr>
        <w:t xml:space="preserve">):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בוגר צעיר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 xml:space="preserve">הורשע בעבירות לפי </w:t>
      </w:r>
      <w:hyperlink r:id="rId69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וסעיפים נוספים</w:t>
      </w:r>
      <w:r>
        <w:rPr>
          <w:rtl w:val="true"/>
        </w:rPr>
        <w:t xml:space="preserve">), </w:t>
      </w:r>
      <w:r>
        <w:rPr>
          <w:rtl w:val="true"/>
        </w:rPr>
        <w:t>בכך שהכה את המתלונן באגרופים מאוחר יותר</w:t>
      </w:r>
      <w:r>
        <w:rPr>
          <w:rtl w:val="true"/>
        </w:rPr>
        <w:t xml:space="preserve">, </w:t>
      </w:r>
      <w:r>
        <w:rPr>
          <w:rtl w:val="true"/>
        </w:rPr>
        <w:t>דקר אותו שתי דקירות בבטנו ובבית החזה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 המערער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הערעור תוך שציין שהעונש מצוי ברף העליון של המתחם</w:t>
      </w:r>
      <w:r>
        <w:rPr>
          <w:rtl w:val="true"/>
        </w:rPr>
        <w:t xml:space="preserve">, </w:t>
      </w:r>
      <w:r>
        <w:rPr>
          <w:rtl w:val="true"/>
        </w:rPr>
        <w:t>אך אינו חורג ממנו</w:t>
      </w:r>
      <w:r>
        <w:rPr>
          <w:rtl w:val="true"/>
        </w:rPr>
        <w:t>.</w:t>
      </w:r>
    </w:p>
    <w:p>
      <w:pPr>
        <w:pStyle w:val="11"/>
        <w:numPr>
          <w:ilvl w:val="0"/>
          <w:numId w:val="2"/>
        </w:numPr>
        <w:ind w:hanging="567" w:start="567" w:end="0"/>
        <w:jc w:val="both"/>
        <w:rPr/>
      </w:pPr>
      <w:r>
        <w:rPr>
          <w:rtl w:val="true"/>
        </w:rPr>
        <w:t xml:space="preserve">הנאשם הפנה לגזרי דין בהם נגזרו על הנאשמים עונשים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והמתחם העולה מהם הוא </w:t>
      </w:r>
      <w:r>
        <w:rPr/>
        <w:t>18</w:t>
      </w:r>
      <w:r>
        <w:rPr>
          <w:rtl w:val="true"/>
        </w:rPr>
        <w:t xml:space="preserve"> –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בגזרי הדין אליהם הפנה הנאשם הורשעו הנאשמים בעבירות קלות מהנאשם בתיק הנוכחי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71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72">
        <w:r>
          <w:rPr>
            <w:rStyle w:val="Hyperlink"/>
          </w:rPr>
          <w:t>334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לעומת הנאשם שהורשע בעבירה לפי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ובאחד מהם אף זוכה הנאשם מעבירה לפי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המתחם הראוי בענייננו הוא גבוה יותר מזה העולה מגזרי הדין אליהם הפנה הנאשם</w:t>
      </w:r>
      <w:r>
        <w:rPr>
          <w:rtl w:val="true"/>
        </w:rPr>
        <w:t>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בהביאי בחשבון את הערכים החברתיים שנפגעו מביצוע העבירה</w:t>
      </w:r>
      <w:r>
        <w:rPr>
          <w:rtl w:val="true"/>
        </w:rPr>
        <w:t xml:space="preserve">; </w:t>
      </w:r>
      <w:r>
        <w:rPr>
          <w:rtl w:val="true"/>
        </w:rPr>
        <w:t>הפגיעה הגבוהה בהם</w:t>
      </w:r>
      <w:r>
        <w:rPr>
          <w:rtl w:val="true"/>
        </w:rPr>
        <w:t xml:space="preserve">;  </w:t>
      </w:r>
      <w:r>
        <w:rPr>
          <w:rtl w:val="true"/>
        </w:rPr>
        <w:t xml:space="preserve">מדיניות הענישה הנהוגה כפי שפורטה לעיל </w:t>
      </w:r>
      <w:r>
        <w:rPr>
          <w:rtl w:val="true"/>
        </w:rPr>
        <w:t>(</w:t>
      </w:r>
      <w:r>
        <w:rPr>
          <w:rtl w:val="true"/>
        </w:rPr>
        <w:t>בשים לב שחלק מגזרי הדין שפורטו לעיל נגזרו בגין עבירות קלות יותר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78"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7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בהתחשב בכך שמדובר בעבירה שבוצעה בתוך כתלי הכלא</w:t>
      </w:r>
      <w:r>
        <w:rPr>
          <w:rtl w:val="true"/>
        </w:rPr>
        <w:t xml:space="preserve">, </w:t>
      </w:r>
      <w:r>
        <w:rPr>
          <w:rtl w:val="true"/>
        </w:rPr>
        <w:t>נגד סוהר</w:t>
      </w:r>
      <w:r>
        <w:rPr>
          <w:rtl w:val="true"/>
        </w:rPr>
        <w:t xml:space="preserve">; </w:t>
      </w:r>
      <w:r>
        <w:rPr>
          <w:rtl w:val="true"/>
        </w:rPr>
        <w:t>הנזק המשמעותי שנגרם לסוהר בפועל</w:t>
      </w:r>
      <w:r>
        <w:rPr>
          <w:rtl w:val="true"/>
        </w:rPr>
        <w:t xml:space="preserve">, </w:t>
      </w:r>
      <w:r>
        <w:rPr>
          <w:rtl w:val="true"/>
        </w:rPr>
        <w:t>כפי שפורט לעיל</w:t>
      </w:r>
      <w:r>
        <w:rPr>
          <w:rtl w:val="true"/>
        </w:rPr>
        <w:t xml:space="preserve">; </w:t>
      </w:r>
      <w:r>
        <w:rPr>
          <w:rtl w:val="true"/>
        </w:rPr>
        <w:t>והנזק המשמעותי יותר שהיה צפוי להיגרם נוכח התקיפה לאזור הפנים והצוואר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אני סבור שמתחם הענישה ההולם עומד על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העונש המתאים לנאשם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במקרה זה אין נסיבות המצדיקות חריגה לקולא או לחומרה ממתחם הענישה</w:t>
      </w:r>
      <w:r>
        <w:rPr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tl w:val="true"/>
        </w:rPr>
        <w:t>שקלתי את הסכמת הצדדים</w:t>
      </w:r>
      <w:r>
        <w:rPr>
          <w:rtl w:val="true"/>
        </w:rPr>
        <w:t xml:space="preserve">, </w:t>
      </w:r>
      <w:r>
        <w:rPr>
          <w:rtl w:val="true"/>
        </w:rPr>
        <w:t>ובהתחשב בהודאת הנאשם</w:t>
      </w:r>
      <w:r>
        <w:rPr>
          <w:rtl w:val="true"/>
        </w:rPr>
        <w:t xml:space="preserve">, </w:t>
      </w:r>
      <w:r>
        <w:rPr>
          <w:rtl w:val="true"/>
        </w:rPr>
        <w:t>ההלכה בדבר כיבוד הסדרי טיעון והעובדה שהעונש המקסימאלי המוסכם נמצא בתוך מתחם הענישה ההולם</w:t>
      </w:r>
      <w:r>
        <w:rPr>
          <w:rtl w:val="true"/>
        </w:rPr>
        <w:t xml:space="preserve">, </w:t>
      </w:r>
      <w:r>
        <w:rPr>
          <w:rtl w:val="true"/>
        </w:rPr>
        <w:t>אני סבור שהצדדים שקלו היטב את כל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הסדר הטיעון הולם ולכן אכבד אותו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לא אגזור על הנאשם עונש מאסר העולה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1"/>
        <w:ind w:end="0"/>
        <w:jc w:val="both"/>
        <w:rPr>
          <w:sz w:val="24"/>
        </w:rPr>
      </w:pPr>
      <w:r>
        <w:rPr>
          <w:rtl w:val="true"/>
        </w:rPr>
        <w:t>בקביעת עונשו של הנאשם בתוך מתחם הענישה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התחשבתי ל</w:t>
      </w:r>
      <w:r>
        <w:rPr>
          <w:b/>
          <w:b/>
          <w:bCs/>
          <w:sz w:val="24"/>
          <w:sz w:val="24"/>
          <w:rtl w:val="true"/>
        </w:rPr>
        <w:t>חומרה</w:t>
      </w:r>
      <w:r>
        <w:rPr>
          <w:sz w:val="24"/>
          <w:sz w:val="24"/>
          <w:rtl w:val="true"/>
        </w:rPr>
        <w:t xml:space="preserve"> בעברו הפלילי של 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ובכך שהעבירה בוצעה פחות משנה לאחר שנגזר על הנאשם עונש מאסר בשל עבירות חמורות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</w:t>
      </w:r>
      <w:r>
        <w:rPr>
          <w:b/>
          <w:b/>
          <w:bCs/>
          <w:sz w:val="24"/>
          <w:sz w:val="24"/>
          <w:rtl w:val="true"/>
        </w:rPr>
        <w:t>קולא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התחשבתי בגילו של הנאשם ובכך שהנאשם נטל אחריות על מעשיו והודה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 כי הדבר נעשה לאחר שמיעת רוב העדויות ובין השאר עדותו של המתלונן</w:t>
      </w:r>
      <w:r>
        <w:rPr>
          <w:sz w:val="24"/>
          <w:rtl w:val="true"/>
        </w:rPr>
        <w:t>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בשקלול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היות והעונש המקסימאלי עליו סיכמו הצדדים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), </w:t>
      </w:r>
      <w:r>
        <w:rPr>
          <w:rtl w:val="true"/>
        </w:rPr>
        <w:t>מצוי במחצית הנמוכה של המתחם</w:t>
      </w:r>
      <w:r>
        <w:rPr>
          <w:rtl w:val="true"/>
        </w:rPr>
        <w:t xml:space="preserve">, </w:t>
      </w:r>
      <w:r>
        <w:rPr>
          <w:rtl w:val="true"/>
        </w:rPr>
        <w:t>אני סבור שזה העונש המתאים בנסיבות העניין</w:t>
      </w:r>
      <w:r>
        <w:rPr>
          <w:rtl w:val="true"/>
        </w:rPr>
        <w:t>.</w:t>
      </w:r>
    </w:p>
    <w:p>
      <w:pPr>
        <w:pStyle w:val="11"/>
        <w:numPr>
          <w:ilvl w:val="0"/>
          <w:numId w:val="3"/>
        </w:numPr>
        <w:ind w:hanging="567" w:start="567" w:end="0"/>
        <w:jc w:val="both"/>
        <w:rPr/>
      </w:pPr>
      <w:r>
        <w:rPr>
          <w:rtl w:val="true"/>
        </w:rPr>
        <w:t>אשר לשאלה אם המאסר ירוצה במצטבר או בחופף למאסר אותו מרצה הנאשם כעת</w:t>
      </w:r>
      <w:r>
        <w:rPr>
          <w:rtl w:val="true"/>
        </w:rPr>
        <w:t xml:space="preserve">: </w:t>
      </w:r>
      <w:r>
        <w:rPr>
          <w:rtl w:val="true"/>
        </w:rPr>
        <w:t>נוכח המאסר הארוך אותו מרצה הנאשם עקב העבירות הקודמות שביצע</w:t>
      </w:r>
      <w:r>
        <w:rPr>
          <w:rtl w:val="true"/>
        </w:rPr>
        <w:t xml:space="preserve">, </w:t>
      </w:r>
      <w:r>
        <w:rPr>
          <w:rtl w:val="true"/>
        </w:rPr>
        <w:t>אם ייקבע שהעונש ירוצה בחופף למאסר אותו הוא מרצה כעת</w:t>
      </w:r>
      <w:r>
        <w:rPr>
          <w:rtl w:val="true"/>
        </w:rPr>
        <w:t xml:space="preserve">, </w:t>
      </w:r>
      <w:r>
        <w:rPr>
          <w:rtl w:val="true"/>
        </w:rPr>
        <w:t>תהיה משמעות הדבר שמעשיו החמורים של הנאשם יעברו ללא ענישה</w:t>
      </w:r>
      <w:r>
        <w:rPr>
          <w:rtl w:val="true"/>
        </w:rPr>
        <w:t xml:space="preserve">. </w:t>
      </w:r>
      <w:r>
        <w:rPr>
          <w:rtl w:val="true"/>
        </w:rPr>
        <w:t>על מנת להתמודד עם פשעים המבוצעים על ידי אסירים בכלא</w:t>
      </w:r>
      <w:r>
        <w:rPr>
          <w:rtl w:val="true"/>
        </w:rPr>
        <w:t xml:space="preserve">, </w:t>
      </w:r>
      <w:r>
        <w:rPr>
          <w:rtl w:val="true"/>
        </w:rPr>
        <w:t xml:space="preserve">יש לקבוע שהעונש ירוצה </w:t>
      </w:r>
      <w:r>
        <w:rPr>
          <w:b/>
          <w:b/>
          <w:bCs/>
          <w:rtl w:val="true"/>
        </w:rPr>
        <w:t>במצטבר</w:t>
      </w:r>
      <w:r>
        <w:rPr>
          <w:rtl w:val="true"/>
        </w:rPr>
        <w:t xml:space="preserve"> למאסר אותו מרצה הנאשם כעת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5622/92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וכך אני קובע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גזירת העונש</w:t>
      </w:r>
    </w:p>
    <w:p>
      <w:pPr>
        <w:pStyle w:val="11"/>
        <w:keepNext w:val="true"/>
        <w:numPr>
          <w:ilvl w:val="0"/>
          <w:numId w:val="3"/>
        </w:numPr>
        <w:spacing w:before="240" w:after="0"/>
        <w:ind w:hanging="567" w:start="567" w:end="0"/>
        <w:jc w:val="both"/>
        <w:rPr/>
      </w:pPr>
      <w:r>
        <w:rPr>
          <w:rtl w:val="true"/>
        </w:rPr>
        <w:t>אשר על כן הנני גוזר על הנאשם את העונשים הבאים</w:t>
      </w:r>
      <w:r>
        <w:rPr>
          <w:rtl w:val="true"/>
        </w:rPr>
        <w:t>:</w:t>
      </w:r>
    </w:p>
    <w:p>
      <w:pPr>
        <w:pStyle w:val="1"/>
        <w:spacing w:before="240" w:after="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sz w:val="24"/>
          <w:sz w:val="24"/>
          <w:rtl w:val="true"/>
        </w:rPr>
        <w:t xml:space="preserve">מאסר בפועל למשך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שירוצה במצטבר לכל מאסר שמרצה הנאשם</w:t>
      </w:r>
      <w:r>
        <w:rPr>
          <w:sz w:val="24"/>
          <w:rtl w:val="true"/>
        </w:rPr>
        <w:t>.</w:t>
      </w:r>
    </w:p>
    <w:p>
      <w:pPr>
        <w:pStyle w:val="1"/>
        <w:spacing w:before="240" w:after="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. </w:t>
      </w:r>
      <w:r>
        <w:rPr>
          <w:rtl w:val="true"/>
        </w:rPr>
        <w:t xml:space="preserve">הנאשם יישא בעונש זה אם בתקופה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u w:val="single"/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יעבור עבירת אלימות מסוג פשע</w:t>
      </w:r>
      <w:r>
        <w:rPr>
          <w:rtl w:val="true"/>
        </w:rPr>
        <w:t>.</w:t>
      </w:r>
    </w:p>
    <w:p>
      <w:pPr>
        <w:pStyle w:val="1"/>
        <w:spacing w:before="240" w:after="0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בנסיבות העניין ונוכח המאסר הממושך יחסית</w:t>
      </w:r>
      <w:r>
        <w:rPr>
          <w:rtl w:val="true"/>
        </w:rPr>
        <w:t xml:space="preserve">, </w:t>
      </w:r>
      <w:r>
        <w:rPr>
          <w:rtl w:val="true"/>
        </w:rPr>
        <w:t>אני נמנע מהטלת קנס</w:t>
      </w:r>
      <w:r>
        <w:rPr>
          <w:rtl w:val="true"/>
        </w:rPr>
        <w:t>.</w:t>
      </w:r>
    </w:p>
    <w:p>
      <w:pPr>
        <w:pStyle w:val="1"/>
        <w:spacing w:before="240" w:after="0"/>
        <w:ind w:hanging="567" w:start="1134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הנאשם ישלם למתלונן</w:t>
      </w:r>
      <w:r>
        <w:rPr>
          <w:rtl w:val="true"/>
        </w:rPr>
        <w:t xml:space="preserve">- </w:t>
      </w:r>
      <w:r>
        <w:rPr>
          <w:rtl w:val="true"/>
        </w:rPr>
        <w:t>הסוהר חיים</w:t>
      </w:r>
      <w:r>
        <w:rPr>
          <w:rtl w:val="true"/>
        </w:rPr>
        <w:t xml:space="preserve">, </w:t>
      </w:r>
      <w:r>
        <w:rPr>
          <w:rtl w:val="true"/>
        </w:rPr>
        <w:t xml:space="preserve">עד תביעה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פיצוי בסכום של </w:t>
      </w:r>
      <w:r>
        <w:rPr/>
        <w:t>25,000</w:t>
      </w:r>
      <w:r>
        <w:rPr>
          <w:rtl w:val="true"/>
        </w:rPr>
        <w:t xml:space="preserve"> ₪, </w:t>
      </w:r>
      <w:r>
        <w:rPr>
          <w:rtl w:val="true"/>
        </w:rPr>
        <w:t>אשר יופקד על ידי הנאשם בקופת בית המשפט עבור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 xml:space="preserve">זכות ערעור לבית המשפט העליון תוך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Fonts w:cs="Arial" w:ascii="Arial" w:hAnsi="Arial"/>
          <w:color w:val="FFFFFF"/>
          <w:sz w:val="26"/>
          <w:szCs w:val="26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כסלו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08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bidiVisual w:val="true"/>
        <w:tblW w:w="2496" w:type="dxa"/>
        <w:jc w:val="start"/>
        <w:tblInd w:w="16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20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val="en-IL" w:eastAsia="en-IL"/>
              </w:rPr>
              <w:t>54678313</w:t>
            </w:r>
          </w:p>
        </w:tc>
      </w:tr>
      <w:tr>
        <w:trPr>
          <w:trHeight w:val="197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עמית כהן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start="43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עמית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2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10549-06-15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חמזה בן סלאמה צואוין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567"/>
        </w:tabs>
        <w:ind w:start="567" w:hanging="567"/>
      </w:pPr>
      <w:rPr>
        <w:sz w:val="20"/>
        <w:i w:val="false"/>
        <w:u w:val="none"/>
        <w:b w:val="false"/>
        <w:rFonts w:ascii="Times New Roman" w:hAnsi="Times New Roman" w:cs="David"/>
        <w:lang w:val="en-US"/>
      </w:rPr>
    </w:lvl>
    <w:lvl w:ilvl="1">
      <w:start w:val="1"/>
      <w:numFmt w:val="decimal"/>
      <w:lvlText w:val="%1.%2."/>
      <w:lvlJc w:val="end"/>
      <w:pPr>
        <w:tabs>
          <w:tab w:val="num" w:pos="1134"/>
        </w:tabs>
        <w:ind w:start="1134" w:hanging="567"/>
      </w:pPr>
      <w:rPr>
        <w:sz w:val="20"/>
        <w:i w:val="false"/>
        <w:u w:val="none"/>
        <w:b w:val="false"/>
        <w:rFonts w:ascii="Times New Roman" w:hAnsi="Times New Roman" w:cs="David"/>
      </w:rPr>
    </w:lvl>
    <w:lvl w:ilvl="2">
      <w:start w:val="1"/>
      <w:numFmt w:val="decimal"/>
      <w:lvlText w:val="%1.%2.%3."/>
      <w:lvlJc w:val="start"/>
      <w:pPr>
        <w:tabs>
          <w:tab w:val="num" w:pos="1985"/>
        </w:tabs>
        <w:ind w:start="1985" w:hanging="851"/>
      </w:pPr>
      <w:rPr>
        <w:sz w:val="20"/>
        <w:i w:val="false"/>
        <w:b w:val="false"/>
        <w:rFonts w:ascii="Times New Roman" w:hAnsi="Times New Roman" w:cs="David"/>
      </w:rPr>
    </w:lvl>
    <w:lvl w:ilvl="3">
      <w:start w:val="1"/>
      <w:numFmt w:val="bullet"/>
      <w:lvlText w:val=""/>
      <w:lvlJc w:val="start"/>
      <w:pPr>
        <w:tabs>
          <w:tab w:val="num" w:pos="2268"/>
        </w:tabs>
        <w:ind w:start="2268" w:hanging="283"/>
      </w:pPr>
      <w:rPr>
        <w:rFonts w:ascii="Wingdings" w:hAnsi="Wingdings" w:cs="Wingdings" w:hint="default"/>
        <w:sz w:val="20"/>
        <w:i w:val="false"/>
        <w:b w:val="false"/>
      </w:rPr>
    </w:lvl>
    <w:lvl w:ilvl="4">
      <w:start w:val="1"/>
      <w:numFmt w:val="decimal"/>
      <w:lvlText w:val="%1.%2.%3.%4.%5."/>
      <w:lvlJc w:val="center"/>
      <w:pPr>
        <w:tabs>
          <w:tab w:val="num" w:pos="0"/>
        </w:tabs>
        <w:ind w:start="3401" w:hanging="7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start="4109" w:hanging="708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center"/>
      <w:pPr>
        <w:tabs>
          <w:tab w:val="num" w:pos="0"/>
        </w:tabs>
        <w:ind w:start="4817" w:hanging="708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start="5525" w:hanging="708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center"/>
      <w:pPr>
        <w:tabs>
          <w:tab w:val="num" w:pos="0"/>
        </w:tabs>
        <w:ind w:start="6233" w:hanging="708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567"/>
        </w:tabs>
        <w:ind w:start="567" w:hanging="567"/>
      </w:pPr>
      <w:rPr>
        <w:sz w:val="20"/>
        <w:i w:val="false"/>
        <w:u w:val="none"/>
        <w:b w:val="false"/>
        <w:rFonts w:ascii="Times New Roman" w:hAnsi="Times New Roman" w:cs="David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1134"/>
        </w:tabs>
        <w:ind w:start="1134" w:hanging="567"/>
      </w:pPr>
      <w:rPr>
        <w:sz w:val="20"/>
        <w:i w:val="false"/>
        <w:u w:val="none"/>
        <w:b w:val="false"/>
        <w:rFonts w:ascii="Times New Roman" w:hAnsi="Times New Roman" w:cs="David"/>
      </w:rPr>
    </w:lvl>
    <w:lvl w:ilvl="2">
      <w:start w:val="1"/>
      <w:numFmt w:val="decimal"/>
      <w:lvlText w:val="%1.%2.%3."/>
      <w:lvlJc w:val="start"/>
      <w:pPr>
        <w:tabs>
          <w:tab w:val="num" w:pos="1985"/>
        </w:tabs>
        <w:ind w:start="1985" w:hanging="851"/>
      </w:pPr>
      <w:rPr>
        <w:sz w:val="20"/>
        <w:i w:val="false"/>
        <w:b w:val="false"/>
        <w:rFonts w:ascii="Times New Roman" w:hAnsi="Times New Roman" w:cs="David"/>
      </w:rPr>
    </w:lvl>
    <w:lvl w:ilvl="3">
      <w:start w:val="1"/>
      <w:numFmt w:val="bullet"/>
      <w:lvlText w:val=""/>
      <w:lvlJc w:val="start"/>
      <w:pPr>
        <w:tabs>
          <w:tab w:val="num" w:pos="2268"/>
        </w:tabs>
        <w:ind w:start="2268" w:hanging="283"/>
      </w:pPr>
      <w:rPr>
        <w:rFonts w:ascii="Wingdings" w:hAnsi="Wingdings" w:cs="Wingdings" w:hint="default"/>
        <w:sz w:val="20"/>
        <w:i w:val="false"/>
        <w:b w:val="false"/>
      </w:rPr>
    </w:lvl>
    <w:lvl w:ilvl="4">
      <w:start w:val="1"/>
      <w:numFmt w:val="decimal"/>
      <w:lvlText w:val="%1.%2.%3.%4.%5."/>
      <w:lvlJc w:val="center"/>
      <w:pPr>
        <w:tabs>
          <w:tab w:val="num" w:pos="0"/>
        </w:tabs>
        <w:ind w:start="3401" w:hanging="7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start="4109" w:hanging="708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center"/>
      <w:pPr>
        <w:tabs>
          <w:tab w:val="num" w:pos="0"/>
        </w:tabs>
        <w:ind w:start="4817" w:hanging="708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start="5525" w:hanging="708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center"/>
      <w:pPr>
        <w:tabs>
          <w:tab w:val="num" w:pos="0"/>
        </w:tabs>
        <w:ind w:start="6233" w:hanging="708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0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Cs/>
      <w:kern w:val="2"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0"/>
      <w:outlineLvl w:val="1"/>
    </w:pPr>
    <w:rPr>
      <w:rFonts w:ascii="Arial" w:hAnsi="Arial" w:cs="Arial"/>
      <w:b/>
      <w:bCs/>
      <w:i/>
      <w:sz w:val="28"/>
      <w:szCs w:val="28"/>
      <w:u w:val="single"/>
    </w:rPr>
  </w:style>
  <w:style w:type="character" w:styleId="WW8Num1z0">
    <w:name w:val="WW8Num1z0"/>
    <w:qFormat/>
    <w:rPr>
      <w:rFonts w:ascii="Times New Roman" w:hAnsi="Times New Roman" w:cs="David"/>
      <w:b w:val="false"/>
      <w:i w:val="false"/>
      <w:sz w:val="20"/>
      <w:u w:val="none"/>
      <w:lang w:val="en-US"/>
    </w:rPr>
  </w:style>
  <w:style w:type="character" w:styleId="WW8Num1z1">
    <w:name w:val="WW8Num1z1"/>
    <w:qFormat/>
    <w:rPr>
      <w:rFonts w:ascii="Times New Roman" w:hAnsi="Times New Roman" w:cs="David"/>
      <w:b w:val="false"/>
      <w:i w:val="false"/>
      <w:sz w:val="20"/>
      <w:u w:val="none"/>
    </w:rPr>
  </w:style>
  <w:style w:type="character" w:styleId="WW8Num1z2">
    <w:name w:val="WW8Num1z2"/>
    <w:qFormat/>
    <w:rPr>
      <w:rFonts w:ascii="Times New Roman" w:hAnsi="Times New Roman" w:cs="David"/>
      <w:b w:val="false"/>
      <w:i w:val="false"/>
      <w:sz w:val="20"/>
    </w:rPr>
  </w:style>
  <w:style w:type="character" w:styleId="WW8Num1z3">
    <w:name w:val="WW8Num1z3"/>
    <w:qFormat/>
    <w:rPr>
      <w:rFonts w:ascii="Wingdings" w:hAnsi="Wingdings" w:cs="Times New Roman"/>
      <w:b w:val="false"/>
      <w:i w:val="false"/>
      <w:sz w:val="20"/>
    </w:rPr>
  </w:style>
  <w:style w:type="character" w:styleId="WW8Num1z4">
    <w:name w:val="WW8Num1z4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QuoteChar">
    <w:name w:val="Quote Char"/>
    <w:qFormat/>
    <w:rPr>
      <w:rFonts w:cs="David"/>
      <w:bCs/>
      <w:sz w:val="24"/>
      <w:szCs w:val="24"/>
      <w:lang w:val="en-US" w:eastAsia="en-IL" w:bidi="he-IL"/>
    </w:rPr>
  </w:style>
  <w:style w:type="character" w:styleId="CharChar1">
    <w:name w:val=" Char Char1"/>
    <w:qFormat/>
    <w:rPr>
      <w:rFonts w:ascii="Arial" w:hAnsi="Arial" w:cs="David"/>
      <w:bCs/>
      <w:kern w:val="2"/>
      <w:sz w:val="32"/>
      <w:szCs w:val="32"/>
      <w:u w:val="single"/>
      <w:lang w:val="en-US" w:bidi="he-IL"/>
    </w:rPr>
  </w:style>
  <w:style w:type="character" w:styleId="CharChar">
    <w:name w:val=" Char Char"/>
    <w:qFormat/>
    <w:rPr>
      <w:rFonts w:ascii="Arial" w:hAnsi="Arial" w:cs="David"/>
      <w:b/>
      <w:bCs/>
      <w:i/>
      <w:sz w:val="28"/>
      <w:szCs w:val="28"/>
      <w:u w:val="single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0">
    <w:name w:val="רגיל0"/>
    <w:basedOn w:val="Normal"/>
    <w:qFormat/>
    <w:pPr>
      <w:spacing w:lineRule="auto" w:line="360" w:before="240" w:after="0"/>
      <w:jc w:val="both"/>
    </w:pPr>
    <w:rPr>
      <w:rFonts w:ascii="Courier New" w:hAnsi="Courier New" w:cs="Courier New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רגיל1"/>
    <w:basedOn w:val="0"/>
    <w:qFormat/>
    <w:pPr>
      <w:spacing w:before="60" w:after="0"/>
      <w:ind w:hanging="0" w:start="567" w:end="0"/>
    </w:pPr>
    <w:rPr>
      <w:kern w:val="2"/>
    </w:rPr>
  </w:style>
  <w:style w:type="paragraph" w:styleId="Quote">
    <w:name w:val="Quote"/>
    <w:basedOn w:val="Normal"/>
    <w:qFormat/>
    <w:pPr>
      <w:spacing w:before="0" w:after="240"/>
      <w:ind w:hanging="0" w:start="1701" w:end="284"/>
      <w:contextualSpacing/>
      <w:jc w:val="both"/>
    </w:pPr>
    <w:rPr>
      <w:bCs/>
    </w:rPr>
  </w:style>
  <w:style w:type="paragraph" w:styleId="01">
    <w:name w:val="כותרת 0"/>
    <w:basedOn w:val="Heading1"/>
    <w:qFormat/>
    <w:pPr>
      <w:numPr>
        <w:ilvl w:val="0"/>
        <w:numId w:val="0"/>
      </w:numPr>
      <w:ind w:hanging="0" w:start="0"/>
      <w:outlineLvl w:val="9"/>
    </w:pPr>
    <w:rPr>
      <w:szCs w:val="44"/>
      <w:u w:val="double"/>
    </w:rPr>
  </w:style>
  <w:style w:type="paragraph" w:styleId="11">
    <w:name w:val="1"/>
    <w:basedOn w:val="0"/>
    <w:qFormat/>
    <w:pPr>
      <w:numPr>
        <w:ilvl w:val="0"/>
        <w:numId w:val="2"/>
      </w:numPr>
      <w:autoSpaceDE w:val="false"/>
      <w:spacing w:before="120" w:after="0"/>
      <w:ind w:hanging="0" w:start="0" w:end="0"/>
    </w:pPr>
    <w:rPr>
      <w:rFonts w:ascii="Times New Roman" w:hAnsi="Times New Roman" w:cs="Times New Roman"/>
    </w:rPr>
  </w:style>
  <w:style w:type="paragraph" w:styleId="2">
    <w:name w:val="2"/>
    <w:basedOn w:val="0"/>
    <w:qFormat/>
    <w:pPr>
      <w:numPr>
        <w:ilvl w:val="0"/>
        <w:numId w:val="2"/>
      </w:numPr>
      <w:autoSpaceDE w:val="false"/>
      <w:spacing w:before="120" w:after="0"/>
      <w:ind w:hanging="0" w:start="0" w:end="567"/>
    </w:pPr>
    <w:rPr/>
  </w:style>
  <w:style w:type="paragraph" w:styleId="3">
    <w:name w:val="3"/>
    <w:basedOn w:val="0"/>
    <w:qFormat/>
    <w:pPr>
      <w:numPr>
        <w:ilvl w:val="0"/>
        <w:numId w:val="2"/>
      </w:numPr>
      <w:autoSpaceDE w:val="false"/>
      <w:spacing w:before="60" w:after="0"/>
    </w:pPr>
    <w:rPr>
      <w:rFonts w:ascii="David" w:hAnsi="David" w:cs="Davi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1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29.a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2510" TargetMode="External"/><Relationship Id="rId15" Type="http://schemas.openxmlformats.org/officeDocument/2006/relationships/hyperlink" Target="http://www.nevo.co.il/law/72510/2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3729/85.a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87.b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7793374" TargetMode="External"/><Relationship Id="rId23" Type="http://schemas.openxmlformats.org/officeDocument/2006/relationships/hyperlink" Target="http://www.nevo.co.il/law/72510/2" TargetMode="External"/><Relationship Id="rId24" Type="http://schemas.openxmlformats.org/officeDocument/2006/relationships/hyperlink" Target="http://www.nevo.co.il/law/72510" TargetMode="External"/><Relationship Id="rId25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14.a" TargetMode="External"/><Relationship Id="rId28" Type="http://schemas.openxmlformats.org/officeDocument/2006/relationships/hyperlink" Target="http://www.nevo.co.il/law/73729/85.a" TargetMode="External"/><Relationship Id="rId29" Type="http://schemas.openxmlformats.org/officeDocument/2006/relationships/hyperlink" Target="http://www.nevo.co.il/law/73729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305.1" TargetMode="External"/><Relationship Id="rId32" Type="http://schemas.openxmlformats.org/officeDocument/2006/relationships/hyperlink" Target="http://www.nevo.co.il/law/74903/187.b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5699762" TargetMode="External"/><Relationship Id="rId35" Type="http://schemas.openxmlformats.org/officeDocument/2006/relationships/hyperlink" Target="http://www.nevo.co.il/case/5845337" TargetMode="External"/><Relationship Id="rId36" Type="http://schemas.openxmlformats.org/officeDocument/2006/relationships/hyperlink" Target="http://www.nevo.co.il/case/6025720" TargetMode="External"/><Relationship Id="rId37" Type="http://schemas.openxmlformats.org/officeDocument/2006/relationships/hyperlink" Target="http://www.nevo.co.il/case/8474959" TargetMode="External"/><Relationship Id="rId38" Type="http://schemas.openxmlformats.org/officeDocument/2006/relationships/hyperlink" Target="http://www.nevo.co.il/case/7700839" TargetMode="External"/><Relationship Id="rId39" Type="http://schemas.openxmlformats.org/officeDocument/2006/relationships/hyperlink" Target="http://www.nevo.co.il/case/4674954" TargetMode="External"/><Relationship Id="rId40" Type="http://schemas.openxmlformats.org/officeDocument/2006/relationships/hyperlink" Target="http://www.nevo.co.il/case/5576581" TargetMode="External"/><Relationship Id="rId41" Type="http://schemas.openxmlformats.org/officeDocument/2006/relationships/hyperlink" Target="http://www.nevo.co.il/case/4032628" TargetMode="External"/><Relationship Id="rId42" Type="http://schemas.openxmlformats.org/officeDocument/2006/relationships/hyperlink" Target="http://www.nevo.co.il/case/20345338" TargetMode="External"/><Relationship Id="rId43" Type="http://schemas.openxmlformats.org/officeDocument/2006/relationships/hyperlink" Target="http://www.nevo.co.il/case/6954424" TargetMode="External"/><Relationship Id="rId44" Type="http://schemas.openxmlformats.org/officeDocument/2006/relationships/hyperlink" Target="http://www.nevo.co.il/case/3503022" TargetMode="External"/><Relationship Id="rId45" Type="http://schemas.openxmlformats.org/officeDocument/2006/relationships/hyperlink" Target="http://www.nevo.co.il/case/17927327" TargetMode="External"/><Relationship Id="rId46" Type="http://schemas.openxmlformats.org/officeDocument/2006/relationships/hyperlink" Target="http://www.nevo.co.il/case/5714675" TargetMode="External"/><Relationship Id="rId47" Type="http://schemas.openxmlformats.org/officeDocument/2006/relationships/hyperlink" Target="http://www.nevo.co.il/case/7697298" TargetMode="External"/><Relationship Id="rId48" Type="http://schemas.openxmlformats.org/officeDocument/2006/relationships/hyperlink" Target="http://www.nevo.co.il/case/6996702" TargetMode="External"/><Relationship Id="rId49" Type="http://schemas.openxmlformats.org/officeDocument/2006/relationships/hyperlink" Target="http://www.nevo.co.il/law/70301/334" TargetMode="External"/><Relationship Id="rId50" Type="http://schemas.openxmlformats.org/officeDocument/2006/relationships/hyperlink" Target="http://www.nevo.co.il/law/70301/335.a.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713193" TargetMode="External"/><Relationship Id="rId53" Type="http://schemas.openxmlformats.org/officeDocument/2006/relationships/hyperlink" Target="http://www.nevo.co.il/law/70301/329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%20347127" TargetMode="External"/><Relationship Id="rId56" Type="http://schemas.openxmlformats.org/officeDocument/2006/relationships/hyperlink" Target="http://www.nevo.co.il/law/70301/329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5986849" TargetMode="External"/><Relationship Id="rId59" Type="http://schemas.openxmlformats.org/officeDocument/2006/relationships/hyperlink" Target="http://www.nevo.co.il/law/70301/333" TargetMode="External"/><Relationship Id="rId60" Type="http://schemas.openxmlformats.org/officeDocument/2006/relationships/hyperlink" Target="http://www.nevo.co.il/law/70301/335.a.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5594306" TargetMode="External"/><Relationship Id="rId63" Type="http://schemas.openxmlformats.org/officeDocument/2006/relationships/hyperlink" Target="http://www.nevo.co.il/law/70301/329.a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5640607" TargetMode="External"/><Relationship Id="rId66" Type="http://schemas.openxmlformats.org/officeDocument/2006/relationships/hyperlink" Target="http://www.nevo.co.il/law/70301/329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5576581" TargetMode="External"/><Relationship Id="rId69" Type="http://schemas.openxmlformats.org/officeDocument/2006/relationships/hyperlink" Target="http://www.nevo.co.il/law/70301/329.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33" TargetMode="External"/><Relationship Id="rId72" Type="http://schemas.openxmlformats.org/officeDocument/2006/relationships/hyperlink" Target="http://www.nevo.co.il/law/70301/334" TargetMode="External"/><Relationship Id="rId73" Type="http://schemas.openxmlformats.org/officeDocument/2006/relationships/hyperlink" Target="http://www.nevo.co.il/law/70301/335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29" TargetMode="External"/><Relationship Id="rId76" Type="http://schemas.openxmlformats.org/officeDocument/2006/relationships/hyperlink" Target="http://www.nevo.co.il/law/70301/329" TargetMode="External"/><Relationship Id="rId77" Type="http://schemas.openxmlformats.org/officeDocument/2006/relationships/hyperlink" Target="http://www.nevo.co.il/law/70301/333" TargetMode="External"/><Relationship Id="rId78" Type="http://schemas.openxmlformats.org/officeDocument/2006/relationships/hyperlink" Target="http://www.nevo.co.il/law/70301/334" TargetMode="External"/><Relationship Id="rId79" Type="http://schemas.openxmlformats.org/officeDocument/2006/relationships/hyperlink" Target="http://www.nevo.co.il/law/70301/335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17927327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2017-07-20T14:04:00Z</dcterms:created>
  <dc:creator> </dc:creator>
  <dc:description/>
  <cp:keywords/>
  <dc:language>en-IL</dc:language>
  <cp:lastModifiedBy>run</cp:lastModifiedBy>
  <dcterms:modified xsi:type="dcterms:W3CDTF">2017-07-20T14:04:00Z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בן סלאמה צואוין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7793374;5699762;5845337;6025720;8474959;7700839;4674954;5576581:2;4032628;20345338;6954424;3503022;17927327:2;5714675;7697298;6996702;713193;347127;5986849;5594306;5640607</vt:lpwstr>
  </property>
  <property fmtid="{D5CDD505-2E9C-101B-9397-08002B2CF9AE}" pid="9" name="CITY">
    <vt:lpwstr>ב"ש</vt:lpwstr>
  </property>
  <property fmtid="{D5CDD505-2E9C-101B-9397-08002B2CF9AE}" pid="10" name="DATE">
    <vt:lpwstr>20161208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עמית כהן</vt:lpwstr>
  </property>
  <property fmtid="{D5CDD505-2E9C-101B-9397-08002B2CF9AE}" pid="14" name="LAWLISTTMP1">
    <vt:lpwstr>70301/329.a.1;499.a.1;114.a;144.a;305.1;334:3;335.a.1:2;329:3;329.a:4;333:3;335:2</vt:lpwstr>
  </property>
  <property fmtid="{D5CDD505-2E9C-101B-9397-08002B2CF9AE}" pid="15" name="LAWLISTTMP2">
    <vt:lpwstr>72510/002</vt:lpwstr>
  </property>
  <property fmtid="{D5CDD505-2E9C-101B-9397-08002B2CF9AE}" pid="16" name="LAWLISTTMP3">
    <vt:lpwstr>73729/085.a</vt:lpwstr>
  </property>
  <property fmtid="{D5CDD505-2E9C-101B-9397-08002B2CF9AE}" pid="17" name="LAWLISTTMP4">
    <vt:lpwstr>74903/187.b</vt:lpwstr>
  </property>
  <property fmtid="{D5CDD505-2E9C-101B-9397-08002B2CF9AE}" pid="18" name="LAWYER">
    <vt:lpwstr>ענבל ברסנו ;מוחמד ג'ברין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10549</vt:lpwstr>
  </property>
  <property fmtid="{D5CDD505-2E9C-101B-9397-08002B2CF9AE}" pid="25" name="NEWPARTB">
    <vt:lpwstr>06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390020161208</vt:lpwstr>
  </property>
  <property fmtid="{D5CDD505-2E9C-101B-9397-08002B2CF9AE}" pid="37" name="TYPE_N_DATE">
    <vt:lpwstr>39020161208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