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10556-10-17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עואד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979" w:type="dxa"/>
        <w:jc w:val="start"/>
        <w:tblInd w:w="-33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974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89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מרדכי כדורי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הנשיא</w:t>
            </w:r>
          </w:p>
        </w:tc>
      </w:tr>
      <w:tr>
        <w:trPr/>
        <w:tc>
          <w:tcPr>
            <w:tcW w:w="305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97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05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עואד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 xml:space="preserve">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עומרי כהן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חליחל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מתורגמן ביהמ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ש לשפה הערבית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  <w:sz w:val="28"/>
        </w:rPr>
      </w:pPr>
      <w:r>
        <w:rPr>
          <w:rFonts w:cs="FrankRuehl" w:ascii="FrankRuehl" w:hAnsi="FrankRuehl"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גזר הדין יינתן בשעה </w:t>
      </w:r>
      <w:r>
        <w:rPr/>
        <w:t>11:00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27/12/2017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 xml:space="preserve">     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כדורי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bookmarkStart w:id="9" w:name="ABSTRACT_START"/>
      <w:bookmarkEnd w:id="9"/>
      <w:r>
        <w:rPr>
          <w:rtl w:val="true"/>
        </w:rPr>
        <w:t>הנאשם שלפני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והחזקת אביזר נשק לתחמושת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 האמור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הסדר הטיעון כלל הסכמה לפיה תעתור המאשימה לעונש מאסר למשך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בתוספת רכיבים נלווים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 ההגנה חופשית בטיעוניה</w:t>
      </w:r>
      <w:r>
        <w:rPr>
          <w:rFonts w:cs="Calibri" w:ascii="Calibri" w:hAnsi="Calibri"/>
          <w:rtl w:val="true"/>
        </w:rPr>
        <w:t>.</w:t>
      </w:r>
    </w:p>
    <w:p>
      <w:pPr>
        <w:pStyle w:val="David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28/08/2017</w:t>
      </w:r>
      <w:r>
        <w:rPr>
          <w:rtl w:val="true"/>
        </w:rPr>
        <w:t xml:space="preserve"> </w:t>
      </w:r>
      <w:r>
        <w:rPr>
          <w:rtl w:val="true"/>
        </w:rPr>
        <w:t xml:space="preserve">החזיק הנאשם באקדח ובתוכו מחסנית ובה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קליעים בקוטר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 היה בבעלותו של אחר והוחזק על ידי הנאשם בתוך שקית בחצר הסמוכה לביתו</w:t>
      </w:r>
      <w:r>
        <w:rPr>
          <w:rtl w:val="true"/>
        </w:rPr>
        <w:t xml:space="preserve">. </w:t>
      </w:r>
      <w:r>
        <w:rPr>
          <w:rtl w:val="true"/>
        </w:rPr>
        <w:t>עוד במועד האמור החזיק הנאשם באקדח ובתוכו מחסנית לא טעונה</w:t>
      </w:r>
      <w:r>
        <w:rPr>
          <w:rtl w:val="true"/>
        </w:rPr>
        <w:t xml:space="preserve">. </w:t>
      </w:r>
      <w:r>
        <w:rPr>
          <w:rtl w:val="true"/>
        </w:rPr>
        <w:t>הנאשם החזיק את האקדח בתוך כפפה מתחת למזרון בתוך ערימת זבל</w:t>
      </w:r>
      <w:r>
        <w:rPr>
          <w:rtl w:val="true"/>
        </w:rPr>
        <w:t xml:space="preserve">, </w:t>
      </w:r>
      <w:r>
        <w:rPr>
          <w:rtl w:val="true"/>
        </w:rPr>
        <w:t>במרחק של 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מטרים מביתו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המאשימה טענה כי מתחם העונש ההולם למעשי העבירה שביצע הנאשם נע בין שנת מאסר לבין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וכי העונש המתאים לנאשם הינו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לעניין זה ציינה המאשימה כי מתחם העונש ההולם שנקבע בפסיקה להחזקה של אקדח אחד 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לבין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עמדה המאשימה על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על הערכים המוגנים בעבירות נשק</w:t>
      </w:r>
      <w:r>
        <w:rPr>
          <w:rtl w:val="true"/>
        </w:rPr>
        <w:t xml:space="preserve">, </w:t>
      </w:r>
      <w:r>
        <w:rPr>
          <w:rtl w:val="true"/>
        </w:rPr>
        <w:t>כפי שנקבעו בפסיקה</w:t>
      </w:r>
      <w:r>
        <w:rPr>
          <w:rtl w:val="true"/>
        </w:rPr>
        <w:t xml:space="preserve">, </w:t>
      </w:r>
      <w:r>
        <w:rPr>
          <w:rtl w:val="true"/>
        </w:rPr>
        <w:t>על הצורך בהחמרת הענישה בעניין</w:t>
      </w:r>
      <w:r>
        <w:rPr>
          <w:rtl w:val="true"/>
        </w:rPr>
        <w:t xml:space="preserve">, </w:t>
      </w:r>
      <w:r>
        <w:rPr>
          <w:rtl w:val="true"/>
        </w:rPr>
        <w:t>וטענה כי אין נפקות לעובדה שאחד האקדחים היה בבעלותו של אחר</w:t>
      </w:r>
      <w:r>
        <w:rPr>
          <w:rtl w:val="true"/>
        </w:rPr>
        <w:t xml:space="preserve">. </w:t>
      </w:r>
      <w:r>
        <w:rPr>
          <w:rtl w:val="true"/>
        </w:rPr>
        <w:t>עוד הפנתה המאשימה לעברו הפלילי של הנאשם</w:t>
      </w:r>
      <w:r>
        <w:rPr>
          <w:rtl w:val="true"/>
        </w:rPr>
        <w:t xml:space="preserve">, </w:t>
      </w:r>
      <w:r>
        <w:rPr>
          <w:rtl w:val="true"/>
        </w:rPr>
        <w:t>הכולל שתי הרשעות בעבירות סמים</w:t>
      </w:r>
      <w:r>
        <w:rPr>
          <w:rtl w:val="true"/>
        </w:rPr>
        <w:t xml:space="preserve">, </w:t>
      </w:r>
      <w:r>
        <w:rPr>
          <w:rtl w:val="true"/>
        </w:rPr>
        <w:t>החזקת סכין ועוד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הסניגור מצידו טען כי מתחם העונש ההולם למעשי העבירה שביצע הנאשם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לבין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וכי העונש המתאים לנאשם עומד על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 ציין כי יש לזקוף לטובתו של הנאשם את הודאתו</w:t>
      </w:r>
      <w:r>
        <w:rPr>
          <w:rtl w:val="true"/>
        </w:rPr>
        <w:t xml:space="preserve">, </w:t>
      </w:r>
      <w:r>
        <w:rPr>
          <w:rtl w:val="true"/>
        </w:rPr>
        <w:t xml:space="preserve">על אף שהראיה היחידה הקושרת את הנאשם לכלי הנשק הינה דגימת </w:t>
      </w:r>
      <w:r>
        <w:rPr/>
        <w:t>DNA</w:t>
      </w:r>
      <w:r>
        <w:rPr>
          <w:rtl w:val="true"/>
        </w:rPr>
        <w:t xml:space="preserve">. </w:t>
      </w:r>
      <w:r>
        <w:rPr>
          <w:rtl w:val="true"/>
        </w:rPr>
        <w:t>עוד ציין הסניגור כי המועד בו אחז הנאשם באקדחים בפועל אינו ידוע</w:t>
      </w:r>
      <w:r>
        <w:rPr>
          <w:rtl w:val="true"/>
        </w:rPr>
        <w:t xml:space="preserve">, </w:t>
      </w:r>
      <w:r>
        <w:rPr>
          <w:rtl w:val="true"/>
        </w:rPr>
        <w:t>כי האקדחים לא הוחזקו בביתו של הנאשם</w:t>
      </w:r>
      <w:r>
        <w:rPr>
          <w:rtl w:val="true"/>
        </w:rPr>
        <w:t xml:space="preserve">, </w:t>
      </w:r>
      <w:r>
        <w:rPr>
          <w:rtl w:val="true"/>
        </w:rPr>
        <w:t>בחצריו או ברכבו</w:t>
      </w:r>
      <w:r>
        <w:rPr>
          <w:rtl w:val="true"/>
        </w:rPr>
        <w:t xml:space="preserve">, </w:t>
      </w:r>
      <w:r>
        <w:rPr>
          <w:rtl w:val="true"/>
        </w:rPr>
        <w:t>וכי אין ראיה למטרה בגינה החזיק הנאשם באקדחים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 ציין עוד כי הנאשם הינו אדם צעיר</w:t>
      </w:r>
      <w:r>
        <w:rPr>
          <w:rtl w:val="true"/>
        </w:rPr>
        <w:t xml:space="preserve">, </w:t>
      </w:r>
      <w:r>
        <w:rPr>
          <w:rtl w:val="true"/>
        </w:rPr>
        <w:t>אשר עברו הפלילי רחוק</w:t>
      </w:r>
      <w:r>
        <w:rPr>
          <w:rtl w:val="true"/>
        </w:rPr>
        <w:t xml:space="preserve">, </w:t>
      </w:r>
      <w:r>
        <w:rPr>
          <w:rtl w:val="true"/>
        </w:rPr>
        <w:t>ונקבע בהיותו נער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הנאשם השתקם</w:t>
      </w:r>
      <w:r>
        <w:rPr>
          <w:rtl w:val="true"/>
        </w:rPr>
        <w:t xml:space="preserve">, </w:t>
      </w:r>
      <w:r>
        <w:rPr>
          <w:rtl w:val="true"/>
        </w:rPr>
        <w:t>התחתן והקים 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הביע צער וחרטה על מעשיו</w:t>
      </w:r>
      <w:r>
        <w:rPr>
          <w:rtl w:val="true"/>
        </w:rPr>
        <w:t xml:space="preserve">, </w:t>
      </w:r>
      <w:r>
        <w:rPr>
          <w:rtl w:val="true"/>
        </w:rPr>
        <w:t>ועל הנזקים שנגרמו בשלהם למשפחתו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עבירת נשק פוגעת בשלום הציבור ובביטחונו</w:t>
      </w:r>
      <w:r>
        <w:rPr>
          <w:rtl w:val="true"/>
        </w:rPr>
        <w:t xml:space="preserve">. </w:t>
      </w:r>
      <w:r>
        <w:rPr>
          <w:rtl w:val="true"/>
        </w:rPr>
        <w:t>העובדה שכלי בו גלום פוטנציאל קטלני מוחזק ללא פיקוח רשויות המדינה ומבלי שנבחנו מראש מיומנותו של המחזיק לעשות בו שימוש וכשירותו להחזיק בו</w:t>
      </w:r>
      <w:r>
        <w:rPr>
          <w:rtl w:val="true"/>
        </w:rPr>
        <w:t xml:space="preserve">, </w:t>
      </w:r>
      <w:r>
        <w:rPr>
          <w:rtl w:val="true"/>
        </w:rPr>
        <w:t>כשהיא לעצמה</w:t>
      </w:r>
      <w:r>
        <w:rPr>
          <w:rtl w:val="true"/>
        </w:rPr>
        <w:t xml:space="preserve">, </w:t>
      </w:r>
      <w:r>
        <w:rPr>
          <w:rtl w:val="true"/>
        </w:rPr>
        <w:t>מהווה סכנה ממשית לשלומו וביטחונו של הציבור</w:t>
      </w:r>
      <w:r>
        <w:rPr>
          <w:rtl w:val="true"/>
        </w:rPr>
        <w:t xml:space="preserve">. </w:t>
      </w:r>
      <w:r>
        <w:rPr>
          <w:rtl w:val="true"/>
        </w:rPr>
        <w:t>סכנה זו עומדת בתוקפה גם אם אין בדעתו של המחזיק בנשק לעשות בו שימוש לצורך ביצוע עבירה</w:t>
      </w:r>
      <w:r>
        <w:rPr>
          <w:rtl w:val="true"/>
        </w:rPr>
        <w:t xml:space="preserve">. </w:t>
      </w:r>
      <w:r>
        <w:rPr>
          <w:rtl w:val="true"/>
        </w:rPr>
        <w:t>מדובר אפוא בעבירה חמורה</w:t>
      </w:r>
      <w:r>
        <w:rPr>
          <w:rtl w:val="true"/>
        </w:rPr>
        <w:t xml:space="preserve">, </w:t>
      </w:r>
      <w:r>
        <w:rPr>
          <w:rtl w:val="true"/>
        </w:rPr>
        <w:t>בה טמונה סכנה של ממש לחיי אדם</w:t>
      </w:r>
      <w:r>
        <w:rPr>
          <w:rtl w:val="true"/>
        </w:rPr>
        <w:t xml:space="preserve">, </w:t>
      </w:r>
      <w:r>
        <w:rPr>
          <w:rtl w:val="true"/>
        </w:rPr>
        <w:t>לשלמות החיים לגוף ולנפש האדם ולביטחון 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העובדה שהנאשם החזיק בשני אקדחים</w:t>
      </w:r>
      <w:r>
        <w:rPr>
          <w:rtl w:val="true"/>
        </w:rPr>
        <w:t xml:space="preserve">, </w:t>
      </w:r>
      <w:r>
        <w:rPr>
          <w:rtl w:val="true"/>
        </w:rPr>
        <w:t>כאשר אחד מהם טעון במחסנית טעונה בקליעים</w:t>
      </w:r>
      <w:r>
        <w:rPr>
          <w:rtl w:val="true"/>
        </w:rPr>
        <w:t xml:space="preserve">, </w:t>
      </w:r>
      <w:r>
        <w:rPr>
          <w:rtl w:val="true"/>
        </w:rPr>
        <w:t>מעצימה את עוצמת הפגיעה בערכים החברתיים המוגנים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מדובר בפגיעה במידה נמוכה מאשר מידת הפגיעה של עבירות הנשק במדרג הגבוה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הנאשם לא נשא את הנשק</w:t>
      </w:r>
      <w:r>
        <w:rPr>
          <w:rtl w:val="true"/>
        </w:rPr>
        <w:t xml:space="preserve">, </w:t>
      </w:r>
      <w:r>
        <w:rPr>
          <w:rtl w:val="true"/>
        </w:rPr>
        <w:t>לא הובילו ולא סחר בו</w:t>
      </w:r>
      <w:r>
        <w:rPr>
          <w:rtl w:val="true"/>
        </w:rPr>
        <w:t xml:space="preserve">. </w:t>
      </w:r>
      <w:r>
        <w:rPr>
          <w:rtl w:val="true"/>
        </w:rPr>
        <w:t>הנאשם לא החזיק את הנשק על גופו</w:t>
      </w:r>
      <w:r>
        <w:rPr>
          <w:rtl w:val="true"/>
        </w:rPr>
        <w:t xml:space="preserve">, </w:t>
      </w:r>
      <w:r>
        <w:rPr>
          <w:rtl w:val="true"/>
        </w:rPr>
        <w:t>לא שהה עמו ברחובה של עיר</w:t>
      </w:r>
      <w:r>
        <w:rPr>
          <w:rtl w:val="true"/>
        </w:rPr>
        <w:t xml:space="preserve">, </w:t>
      </w:r>
      <w:r>
        <w:rPr>
          <w:rtl w:val="true"/>
        </w:rPr>
        <w:t>ואחד הנשקים לא היה טעון ולא מוכן לירי</w:t>
      </w:r>
      <w:r>
        <w:rPr>
          <w:rtl w:val="true"/>
        </w:rPr>
        <w:t xml:space="preserve">. </w:t>
      </w:r>
      <w:r>
        <w:rPr>
          <w:rtl w:val="true"/>
        </w:rPr>
        <w:t>עובדה זו מכרסמת בהנחה המתקיימת ברגיל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לפיה אדם המחזיק ללא רישיון בנשק ובתחמושת מתאימה עושה זאת שלא למטרות כשרות 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tl w:val="true"/>
        </w:rPr>
        <w:t xml:space="preserve"> </w:t>
      </w:r>
      <w:r>
        <w:rPr/>
        <w:t>22/2/2007</w:t>
      </w:r>
      <w:r>
        <w:rPr>
          <w:rtl w:val="true"/>
        </w:rPr>
        <w:t xml:space="preserve">), </w:t>
      </w:r>
      <w:r>
        <w:rPr>
          <w:rtl w:val="true"/>
        </w:rPr>
        <w:t>בכל הנוגע לאקדח שלא היה טעון</w:t>
      </w:r>
      <w:r>
        <w:rPr>
          <w:rtl w:val="true"/>
        </w:rPr>
        <w:t xml:space="preserve">. </w:t>
      </w:r>
      <w:r>
        <w:rPr>
          <w:rtl w:val="true"/>
        </w:rPr>
        <w:t>עוד יש להביא בחשבון שהנאשם החזיק במחסנית טעונה אחת</w:t>
      </w:r>
      <w:r>
        <w:rPr>
          <w:rtl w:val="true"/>
        </w:rPr>
        <w:t xml:space="preserve">, </w:t>
      </w:r>
      <w:r>
        <w:rPr>
          <w:rtl w:val="true"/>
        </w:rPr>
        <w:t xml:space="preserve">ובה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קליעים 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בלבד הוא זה שביצע את העבירה</w:t>
      </w:r>
      <w:r>
        <w:rPr>
          <w:rtl w:val="true"/>
        </w:rPr>
        <w:t xml:space="preserve">, </w:t>
      </w:r>
      <w:r>
        <w:rPr>
          <w:rtl w:val="true"/>
        </w:rPr>
        <w:t>וחלקו היחסי בביצועה הוא מלא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הנזק הצפוי מביצוע העבירה עמדנו לעיל</w:t>
      </w:r>
      <w:r>
        <w:rPr>
          <w:rtl w:val="true"/>
        </w:rPr>
        <w:t xml:space="preserve">. </w:t>
      </w:r>
      <w:r>
        <w:rPr>
          <w:rtl w:val="true"/>
        </w:rPr>
        <w:t>הלכה למעשה לא נגרם נזק כתוצאה מהעבירה</w:t>
      </w:r>
      <w:r>
        <w:rPr>
          <w:rtl w:val="true"/>
        </w:rPr>
        <w:t xml:space="preserve">, </w:t>
      </w:r>
      <w:r>
        <w:rPr>
          <w:rtl w:val="true"/>
        </w:rPr>
        <w:t>אולם הדבר היה בשל כך שכלי הנשק והתחמושת נתפסו על ידי גורמי האכיפה</w:t>
      </w:r>
      <w:r>
        <w:rPr>
          <w:rtl w:val="true"/>
        </w:rPr>
        <w:t xml:space="preserve">, </w:t>
      </w:r>
      <w:r>
        <w:rPr>
          <w:rtl w:val="true"/>
        </w:rPr>
        <w:t>ולא בשל חרטתו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קביעת מתחם העונש ההולם יש להתחשב גם במגמת ההחמרה ההדרגתית בעונשים המושתים על עברייני נשק</w:t>
      </w:r>
      <w:r>
        <w:rPr>
          <w:rtl w:val="true"/>
        </w:rPr>
        <w:t xml:space="preserve">, </w:t>
      </w:r>
      <w:r>
        <w:rPr>
          <w:rtl w:val="true"/>
        </w:rPr>
        <w:t xml:space="preserve">עליה עמד בית המשפט העליון פעם אחר פעם </w:t>
      </w:r>
      <w:r>
        <w:rPr>
          <w:rtl w:val="true"/>
        </w:rPr>
        <w:t>(</w:t>
      </w:r>
      <w:r>
        <w:rPr>
          <w:rtl w:val="true"/>
        </w:rPr>
        <w:t>ראו לדוגמא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tl w:val="true"/>
        </w:rPr>
        <w:t xml:space="preserve"> </w:t>
      </w:r>
      <w:r>
        <w:rPr/>
        <w:t>8/3/2017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אין בידי לקבל את עמדת המאשימה לפיה נקבע בפסיקה מתחם ענישה הנע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לבין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 ביחס להחזקתו של נשק אחד</w:t>
      </w:r>
      <w:r>
        <w:rPr>
          <w:rtl w:val="true"/>
        </w:rPr>
        <w:t xml:space="preserve">. </w:t>
      </w:r>
      <w:r>
        <w:rPr>
          <w:rtl w:val="true"/>
        </w:rPr>
        <w:t>בכל מקרה ומקרה נקבע מתחם עונש הולם בהתחשב במידת הפגיעה בערכים החברתיים המוגנים במקרה הקונקרטי הנדון</w:t>
      </w:r>
      <w:r>
        <w:rPr>
          <w:rtl w:val="true"/>
        </w:rPr>
        <w:t xml:space="preserve">, </w:t>
      </w:r>
      <w:r>
        <w:rPr>
          <w:rtl w:val="true"/>
        </w:rPr>
        <w:t>כפי שנעשה לעיל</w:t>
      </w:r>
      <w:r>
        <w:rPr>
          <w:rtl w:val="true"/>
        </w:rPr>
        <w:t xml:space="preserve">. </w:t>
      </w:r>
      <w:r>
        <w:rPr>
          <w:rtl w:val="true"/>
        </w:rPr>
        <w:t>כך לדוגמא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26254-06-17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אבו זיאד נגד מדינת ישראל </w:t>
      </w:r>
      <w:r>
        <w:rPr/>
        <w:t>29/10/2017</w:t>
      </w:r>
      <w:r>
        <w:rPr>
          <w:rtl w:val="true"/>
        </w:rPr>
        <w:t xml:space="preserve">, </w:t>
      </w:r>
      <w:r>
        <w:rPr>
          <w:rtl w:val="true"/>
        </w:rPr>
        <w:t>הפחית בית המשפט בעונשו של נאשם אשר החזיק בביתו תת מקלע מאולתר מסוג קרל גוסטב ועשרות כדורים תואמים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בהתחשב בערך החברתי שנפגע מביצוע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במידת הפגיעה בו ובמדיניות הענישה הנהוגה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/>
        <w:t>30/12/2009</w:t>
      </w:r>
      <w:r>
        <w:rPr>
          <w:rtl w:val="true"/>
        </w:rPr>
        <w:t xml:space="preserve">, 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/>
        <w:t>6/5/2009</w:t>
      </w:r>
      <w:r>
        <w:rPr>
          <w:rtl w:val="true"/>
        </w:rPr>
        <w:t xml:space="preserve">,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כרכור 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/>
        <w:t>1/1/2007</w:t>
      </w:r>
      <w:r>
        <w:rPr>
          <w:rtl w:val="true"/>
        </w:rPr>
        <w:t xml:space="preserve">,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 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13999-11-16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טרבייה</w:t>
      </w:r>
      <w:r>
        <w:rPr>
          <w:rtl w:val="true"/>
        </w:rPr>
        <w:t xml:space="preserve"> </w:t>
      </w:r>
      <w:r>
        <w:rPr/>
        <w:t>2/3/2017</w:t>
      </w:r>
      <w:r>
        <w:rPr>
          <w:rtl w:val="true"/>
        </w:rPr>
        <w:t xml:space="preserve">,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4318-10-11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רפאלוב</w:t>
      </w:r>
      <w:r>
        <w:rPr>
          <w:rtl w:val="true"/>
        </w:rPr>
        <w:t xml:space="preserve"> </w:t>
      </w:r>
      <w:r>
        <w:rPr/>
        <w:t>5/1/2012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מחוזי 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hyperlink r:id="rId15">
        <w:r>
          <w:rPr>
            <w:rStyle w:val="Hyperlink"/>
            <w:color w:val="0000FF"/>
            <w:u w:val="single"/>
          </w:rPr>
          <w:t>207/08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בלטי</w:t>
      </w:r>
      <w:r>
        <w:rPr>
          <w:rtl w:val="true"/>
        </w:rPr>
        <w:t xml:space="preserve"> </w:t>
      </w:r>
      <w:r>
        <w:rPr/>
        <w:t>2/11/2008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/>
        <w:t>22065/09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ריאד</w:t>
      </w:r>
      <w:r>
        <w:rPr>
          <w:rtl w:val="true"/>
        </w:rPr>
        <w:t xml:space="preserve"> </w:t>
      </w:r>
      <w:r>
        <w:rPr/>
        <w:t>26/10/2009</w:t>
      </w:r>
      <w:r>
        <w:rPr>
          <w:rtl w:val="true"/>
        </w:rPr>
        <w:t xml:space="preserve">,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4206-01-09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עלוואי</w:t>
      </w:r>
      <w:r>
        <w:rPr>
          <w:rtl w:val="true"/>
        </w:rPr>
        <w:t xml:space="preserve">  </w:t>
      </w:r>
      <w:r>
        <w:rPr/>
        <w:t>3/3/2010</w:t>
      </w:r>
      <w:r>
        <w:rPr>
          <w:rtl w:val="true"/>
        </w:rPr>
        <w:t xml:space="preserve">,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10774-06-09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tl w:val="true"/>
        </w:rPr>
        <w:t xml:space="preserve">  </w:t>
      </w:r>
      <w:r>
        <w:rPr/>
        <w:t>21/10/2009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מחוזי נצ</w:t>
      </w:r>
      <w:r>
        <w:rPr>
          <w:rtl w:val="true"/>
        </w:rPr>
        <w:t xml:space="preserve">') </w:t>
      </w:r>
      <w:hyperlink r:id="rId18">
        <w:r>
          <w:rPr>
            <w:rStyle w:val="Hyperlink"/>
            <w:color w:val="0000FF"/>
            <w:u w:val="single"/>
          </w:rPr>
          <w:t>134/09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אמין</w:t>
      </w:r>
      <w:r>
        <w:rPr>
          <w:rtl w:val="true"/>
        </w:rPr>
        <w:t xml:space="preserve">  </w:t>
      </w:r>
      <w:r>
        <w:rPr/>
        <w:t>3/11/2009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מחוזי נצ</w:t>
      </w:r>
      <w:r>
        <w:rPr>
          <w:rtl w:val="true"/>
        </w:rPr>
        <w:t xml:space="preserve">') </w:t>
      </w:r>
      <w:hyperlink r:id="rId19">
        <w:r>
          <w:rPr>
            <w:rStyle w:val="Hyperlink"/>
            <w:color w:val="0000FF"/>
            <w:u w:val="single"/>
          </w:rPr>
          <w:t>1074/07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שלבי </w:t>
      </w:r>
      <w:r>
        <w:rPr/>
        <w:t>6/3/2008</w:t>
      </w:r>
      <w:r>
        <w:rPr>
          <w:rtl w:val="true"/>
        </w:rPr>
        <w:t xml:space="preserve">,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11877-07-09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כהן</w:t>
      </w:r>
      <w:r>
        <w:rPr>
          <w:rtl w:val="true"/>
        </w:rPr>
        <w:t xml:space="preserve">  </w:t>
      </w:r>
      <w:r>
        <w:rPr/>
        <w:t>26/11/2009</w:t>
      </w:r>
      <w:r>
        <w:rPr>
          <w:rtl w:val="true"/>
        </w:rPr>
        <w:t xml:space="preserve">, 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26254-06-17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זיאד נגד מדינת ישראל</w:t>
      </w:r>
      <w:r>
        <w:rPr>
          <w:rtl w:val="true"/>
        </w:rPr>
        <w:t xml:space="preserve"> </w:t>
      </w:r>
      <w:r>
        <w:rPr/>
        <w:t>29/10/2017</w:t>
      </w:r>
      <w:r>
        <w:rPr>
          <w:rtl w:val="true"/>
        </w:rPr>
        <w:t xml:space="preserve">), </w:t>
      </w:r>
      <w:r>
        <w:rPr>
          <w:rtl w:val="true"/>
        </w:rPr>
        <w:t xml:space="preserve">נראה לי כי מתחם הענישה ההולם למעשי העבירה שביצע הנאשם נע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 קביעת העונש המתאים לנאשם בתוך מתחם הענישה הנ</w:t>
      </w:r>
      <w:r>
        <w:rPr>
          <w:rtl w:val="true"/>
        </w:rPr>
        <w:t>"</w:t>
      </w:r>
      <w:r>
        <w:rPr>
          <w:rtl w:val="true"/>
        </w:rPr>
        <w:t>ל יש להביא בחשבון</w:t>
      </w:r>
      <w:r>
        <w:rPr>
          <w:rtl w:val="true"/>
        </w:rPr>
        <w:t xml:space="preserve">, </w:t>
      </w:r>
      <w:r>
        <w:rPr>
          <w:rtl w:val="true"/>
        </w:rPr>
        <w:t>לטובתו של הנאשם</w:t>
      </w:r>
      <w:r>
        <w:rPr>
          <w:rtl w:val="true"/>
        </w:rPr>
        <w:t xml:space="preserve">, </w:t>
      </w:r>
      <w:r>
        <w:rPr>
          <w:rtl w:val="true"/>
        </w:rPr>
        <w:t>את הנזק שיגרם לו ולמשפחתו</w:t>
      </w:r>
      <w:r>
        <w:rPr>
          <w:rtl w:val="true"/>
        </w:rPr>
        <w:t xml:space="preserve">,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כתוצאה מהרשעתו והעונש שיוטל עליו</w:t>
      </w:r>
      <w:r>
        <w:rPr>
          <w:rtl w:val="true"/>
        </w:rPr>
        <w:t xml:space="preserve">, </w:t>
      </w:r>
      <w:r>
        <w:rPr>
          <w:rtl w:val="true"/>
        </w:rPr>
        <w:t>את הודאתו בשלב מוקדם של ההליכים נגדו</w:t>
      </w:r>
      <w:r>
        <w:rPr>
          <w:rtl w:val="true"/>
        </w:rPr>
        <w:t xml:space="preserve">, </w:t>
      </w:r>
      <w:r>
        <w:rPr>
          <w:rtl w:val="true"/>
        </w:rPr>
        <w:t>אשר חסכה מזמנם של העדים הרבים המפורטים בכתב האישום</w:t>
      </w:r>
      <w:r>
        <w:rPr>
          <w:rtl w:val="true"/>
        </w:rPr>
        <w:t xml:space="preserve">, </w:t>
      </w:r>
      <w:r>
        <w:rPr>
          <w:rtl w:val="true"/>
        </w:rPr>
        <w:t>זמנם של הצדדים ומשאבי המערכת</w:t>
      </w:r>
      <w:r>
        <w:rPr>
          <w:rtl w:val="true"/>
        </w:rPr>
        <w:t xml:space="preserve">, </w:t>
      </w:r>
      <w:r>
        <w:rPr>
          <w:rtl w:val="true"/>
        </w:rPr>
        <w:t>את האחריות שנטל על מעשיו לפני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ואת הצער שהביע עליהם</w:t>
      </w:r>
      <w:r>
        <w:rPr>
          <w:rtl w:val="true"/>
        </w:rPr>
        <w:t xml:space="preserve">. </w:t>
      </w:r>
      <w:r>
        <w:rPr>
          <w:rtl w:val="true"/>
        </w:rPr>
        <w:t>כמו כן יש להביא בחשבון את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עליהן עמד הסניגור בטיעוניו לעונש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כבר נפסק כי בעבירות נשק על בית המשפט לתת משקל נכבד יותר לאינטרס הציבורי ולצורך להרתיע עבריינים בכוח מלבצע 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על פני נסיבותיו האישיות של העבריין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6924/12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בעארני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/>
        <w:t>29/10/2013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לחובתו של הנאשם עומד עברו הפלילי הכולל שתי הרשעות קודמות</w:t>
      </w:r>
      <w:r>
        <w:rPr>
          <w:rtl w:val="true"/>
        </w:rPr>
        <w:t xml:space="preserve">, </w:t>
      </w:r>
      <w:r>
        <w:rPr>
          <w:rtl w:val="true"/>
        </w:rPr>
        <w:t>בלא פחות מ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רבות ומגוונות</w:t>
      </w:r>
      <w:r>
        <w:rPr>
          <w:rtl w:val="true"/>
        </w:rPr>
        <w:t xml:space="preserve">, </w:t>
      </w:r>
      <w:r>
        <w:rPr>
          <w:rtl w:val="true"/>
        </w:rPr>
        <w:t>ובהן עבירות סמים</w:t>
      </w:r>
      <w:r>
        <w:rPr>
          <w:rtl w:val="true"/>
        </w:rPr>
        <w:t xml:space="preserve">, </w:t>
      </w:r>
      <w:r>
        <w:rPr>
          <w:rtl w:val="true"/>
        </w:rPr>
        <w:t>החזקת סכין</w:t>
      </w:r>
      <w:r>
        <w:rPr>
          <w:rtl w:val="true"/>
        </w:rPr>
        <w:t xml:space="preserve">, </w:t>
      </w:r>
      <w:r>
        <w:rPr>
          <w:rtl w:val="true"/>
        </w:rPr>
        <w:t>הפרעה לשוטר ועבירות רכב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לעבר הפלילי האמור משקל מוגבל בלבד</w:t>
      </w:r>
      <w:r>
        <w:rPr>
          <w:rtl w:val="true"/>
        </w:rPr>
        <w:t xml:space="preserve">, </w:t>
      </w:r>
      <w:r>
        <w:rPr>
          <w:rtl w:val="true"/>
        </w:rPr>
        <w:t>לנוכח פרק הזמן הרב שחלף מאז הרשעתו האחרונה</w:t>
      </w:r>
      <w:r>
        <w:rPr>
          <w:rtl w:val="true"/>
        </w:rPr>
        <w:t xml:space="preserve">. </w:t>
      </w:r>
      <w:r>
        <w:rPr>
          <w:rtl w:val="true"/>
        </w:rPr>
        <w:t>העובדה כי מאז הנאשם לא הורשע בעבירות דומות נוספות</w:t>
      </w:r>
      <w:r>
        <w:rPr>
          <w:rtl w:val="true"/>
        </w:rPr>
        <w:t xml:space="preserve">, </w:t>
      </w:r>
      <w:r>
        <w:rPr>
          <w:rtl w:val="true"/>
        </w:rPr>
        <w:t>תומכת בטענת ההגנה כי הנאשם שינה את דרכו</w:t>
      </w:r>
      <w:r>
        <w:rPr>
          <w:rtl w:val="true"/>
        </w:rPr>
        <w:t xml:space="preserve">, </w:t>
      </w:r>
      <w:r>
        <w:rPr>
          <w:rtl w:val="true"/>
        </w:rPr>
        <w:t>נגמל משימוש בסמים והשתקם</w:t>
      </w:r>
      <w:r>
        <w:rPr>
          <w:rtl w:val="true"/>
        </w:rPr>
        <w:t xml:space="preserve">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rtl w:val="true"/>
        </w:rPr>
        <w:t>לאור כל האמור אני דן</w:t>
      </w:r>
      <w:r>
        <w:rPr>
          <w:b/>
          <w:b/>
          <w:bCs/>
          <w:rtl w:val="true"/>
        </w:rPr>
        <w:t xml:space="preserve"> את הנאשם לעונשים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rtl w:val="true"/>
        </w:rPr>
        <w:t>מאסר בפועל</w:t>
      </w:r>
      <w:r>
        <w:rPr>
          <w:rtl w:val="true"/>
        </w:rPr>
        <w:t xml:space="preserve"> למשך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מעצרו </w:t>
      </w:r>
      <w:r>
        <w:rPr>
          <w:rtl w:val="true"/>
        </w:rPr>
        <w:t>(</w:t>
      </w:r>
      <w:r>
        <w:rPr/>
        <w:t>25/9/2017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rtl w:val="true"/>
        </w:rPr>
        <w:t>מאסר למשך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וזאת על תנאי למשך </w:t>
      </w:r>
      <w:r>
        <w:rPr>
          <w:rtl w:val="true"/>
        </w:rPr>
        <w:t>שלוש שנים</w:t>
      </w:r>
      <w:r>
        <w:rPr>
          <w:rtl w:val="true"/>
        </w:rPr>
        <w:t xml:space="preserve">, </w:t>
      </w:r>
      <w:r>
        <w:rPr>
          <w:rtl w:val="true"/>
        </w:rPr>
        <w:t xml:space="preserve">אם יעבור </w:t>
      </w:r>
      <w:r>
        <w:rPr>
          <w:rtl w:val="true"/>
        </w:rPr>
        <w:t>על כל עבירת 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6,000</w:t>
      </w:r>
      <w:r>
        <w:rPr>
          <w:rtl w:val="true"/>
        </w:rPr>
        <w:t xml:space="preserve"> </w:t>
      </w:r>
      <w:r>
        <w:rPr>
          <w:rtl w:val="true"/>
        </w:rPr>
        <w:t xml:space="preserve">₪, </w:t>
      </w:r>
      <w:r>
        <w:rPr>
          <w:rtl w:val="true"/>
        </w:rPr>
        <w:t>או שני חודשי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</w:t>
      </w:r>
      <w:r>
        <w:rPr>
          <w:rtl w:val="true"/>
        </w:rPr>
        <w:t>ישולם 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החל מיום </w:t>
      </w:r>
      <w:r>
        <w:rPr/>
        <w:t>4/1/2018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אם איזה מן התשלומים לא יבוצע במלואו או במועדו תעמוד מלוא יתרת הקנס לתשלום 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זכות ערעור לבי</w:t>
      </w:r>
      <w:r>
        <w:rPr>
          <w:b/>
          <w:b/>
          <w:bCs/>
          <w:rtl w:val="true"/>
        </w:rPr>
        <w:t xml:space="preserve">ת המשפט </w:t>
      </w:r>
      <w:r>
        <w:rPr>
          <w:b/>
          <w:b/>
          <w:bCs/>
          <w:rtl w:val="true"/>
        </w:rPr>
        <w:t xml:space="preserve">המחוזי בירושלים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27/12/2017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color w:val="FFFFFF"/>
                <w:sz w:val="2"/>
                <w:szCs w:val="2"/>
                <w:rtl w:val="true"/>
              </w:rPr>
              <w:t xml:space="preserve">     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כדורי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10556-10-17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עואד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David" w:hAnsi="David" w:eastAsia="David" w:cs="David"/>
      <w:sz w:val="24"/>
      <w:szCs w:val="24"/>
    </w:rPr>
  </w:style>
  <w:style w:type="character" w:styleId="CharChar">
    <w:name w:val=" Char Char"/>
    <w:qFormat/>
    <w:rPr>
      <w:rFonts w:ascii="David" w:hAnsi="David" w:eastAsia="David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case/5724364" TargetMode="External"/><Relationship Id="rId8" Type="http://schemas.openxmlformats.org/officeDocument/2006/relationships/hyperlink" Target="http://www.nevo.co.il/case/22006503" TargetMode="External"/><Relationship Id="rId9" Type="http://schemas.openxmlformats.org/officeDocument/2006/relationships/hyperlink" Target="http://www.nevo.co.il/case/22727906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yperlink" Target="http://www.nevo.co.il/case/6040482" TargetMode="External"/><Relationship Id="rId12" Type="http://schemas.openxmlformats.org/officeDocument/2006/relationships/hyperlink" Target="http://www.nevo.co.il/case/6104546" TargetMode="External"/><Relationship Id="rId13" Type="http://schemas.openxmlformats.org/officeDocument/2006/relationships/hyperlink" Target="http://www.nevo.co.il/case/21966952" TargetMode="External"/><Relationship Id="rId14" Type="http://schemas.openxmlformats.org/officeDocument/2006/relationships/hyperlink" Target="http://www.nevo.co.il/case/2894643" TargetMode="External"/><Relationship Id="rId15" Type="http://schemas.openxmlformats.org/officeDocument/2006/relationships/hyperlink" Target="http://www.nevo.co.il/case/687125" TargetMode="External"/><Relationship Id="rId16" Type="http://schemas.openxmlformats.org/officeDocument/2006/relationships/hyperlink" Target="http://www.nevo.co.il/case/5499066" TargetMode="External"/><Relationship Id="rId17" Type="http://schemas.openxmlformats.org/officeDocument/2006/relationships/hyperlink" Target="http://www.nevo.co.il/case/4687681" TargetMode="External"/><Relationship Id="rId18" Type="http://schemas.openxmlformats.org/officeDocument/2006/relationships/hyperlink" Target="http://www.nevo.co.il/case/2523707" TargetMode="External"/><Relationship Id="rId19" Type="http://schemas.openxmlformats.org/officeDocument/2006/relationships/hyperlink" Target="http://www.nevo.co.il/case/540835" TargetMode="External"/><Relationship Id="rId20" Type="http://schemas.openxmlformats.org/officeDocument/2006/relationships/hyperlink" Target="http://www.nevo.co.il/case/4772529" TargetMode="External"/><Relationship Id="rId21" Type="http://schemas.openxmlformats.org/officeDocument/2006/relationships/hyperlink" Target="http://www.nevo.co.il/case/22727906" TargetMode="External"/><Relationship Id="rId22" Type="http://schemas.openxmlformats.org/officeDocument/2006/relationships/hyperlink" Target="http://www.nevo.co.il/case/5580733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2018-09-27T12:51:00Z</dcterms:created>
  <dc:creator> </dc:creator>
  <dc:description/>
  <cp:keywords/>
  <dc:language>en-IL</dc:language>
  <cp:lastModifiedBy>run</cp:lastModifiedBy>
  <dcterms:modified xsi:type="dcterms:W3CDTF">2018-09-27T12:51:00Z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עואד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5724364;22006503;22727906:2;6000182;6040482;6104546;21966952;2894643;687125;5499066;4687681;2523707;540835;4772529;5580733</vt:lpwstr>
  </property>
  <property fmtid="{D5CDD505-2E9C-101B-9397-08002B2CF9AE}" pid="9" name="CITY">
    <vt:lpwstr>י-ם</vt:lpwstr>
  </property>
  <property fmtid="{D5CDD505-2E9C-101B-9397-08002B2CF9AE}" pid="10" name="DATE">
    <vt:lpwstr>20171227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70301/144.a:2</vt:lpwstr>
  </property>
  <property fmtid="{D5CDD505-2E9C-101B-9397-08002B2CF9AE}" pid="15" name="LAWYER">
    <vt:lpwstr>עומרי כהן;חליחל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10556</vt:lpwstr>
  </property>
  <property fmtid="{D5CDD505-2E9C-101B-9397-08002B2CF9AE}" pid="22" name="NEWPARTB">
    <vt:lpwstr>10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380020171227</vt:lpwstr>
  </property>
  <property fmtid="{D5CDD505-2E9C-101B-9397-08002B2CF9AE}" pid="34" name="TYPE_N_DATE">
    <vt:lpwstr>38020171227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