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  <w:bookmarkStart w:id="0" w:name="סוג_מסמך"/>
                            <w:bookmarkStart w:id="1" w:name="סוג_מסמך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  <w:bookmarkStart w:id="2" w:name="סוג_מסמך"/>
                      <w:bookmarkStart w:id="3" w:name="סוג_מסמך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בתי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66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393"/>
        <w:gridCol w:w="2660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  </w:t>
            </w:r>
            <w:r>
              <w:rPr>
                <w:sz w:val="22"/>
                <w:sz w:val="22"/>
                <w:rtl w:val="true"/>
              </w:rPr>
              <w:t>ת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1060/00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סגל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2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</w:rPr>
              <w:t>04/11/01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  <w:t> </w:t>
      </w:r>
    </w:p>
    <w:tbl>
      <w:tblPr>
        <w:bidiVisual w:val="true"/>
        <w:tblW w:w="8647" w:type="dxa"/>
        <w:jc w:val="start"/>
        <w:tblInd w:w="53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105"/>
        <w:gridCol w:w="227"/>
        <w:gridCol w:w="5727"/>
        <w:gridCol w:w="1503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13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4" w:name="שם_א"/>
            <w:bookmarkEnd w:id="4"/>
            <w:r>
              <w:rPr>
                <w:rFonts w:cs="David"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595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50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113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595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50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113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595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נ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ג</w:t>
            </w:r>
            <w:r>
              <w:rPr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50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113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5" w:name="שם_ב"/>
            <w:bookmarkEnd w:id="5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595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אחיעם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משה</w:t>
            </w:r>
          </w:p>
        </w:tc>
        <w:tc>
          <w:tcPr>
            <w:tcW w:w="150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ה</w:t>
            </w:r>
            <w:bookmarkStart w:id="6" w:name="כינוי_ב"/>
            <w:bookmarkEnd w:id="6"/>
            <w:r>
              <w:rPr>
                <w:rFonts w:cs="David"/>
                <w:sz w:val="22"/>
                <w:sz w:val="22"/>
                <w:szCs w:val="24"/>
                <w:rtl w:val="true"/>
              </w:rPr>
              <w:t>נאשם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113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595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50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609" w:hRule="atLeast"/>
        </w:trPr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33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7" w:name="LastJudge"/>
            <w:bookmarkStart w:id="8" w:name="FirstLawyer"/>
            <w:bookmarkEnd w:id="7"/>
            <w:bookmarkEnd w:id="8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723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ו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אפרת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רבהון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/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אשר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אוחיון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</w:tbl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329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402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409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spacing w:lineRule="exact" w:line="260" w:before="0" w:after="80"/>
        <w:ind w:firstLine="283" w:end="0"/>
        <w:jc w:val="both"/>
        <w:rPr>
          <w:rFonts w:ascii="FrankRuehl" w:hAnsi="FrankRuehl" w:cs="David"/>
          <w:b w:val="false"/>
          <w:bCs w:val="false"/>
          <w:sz w:val="22"/>
          <w:szCs w:val="24"/>
          <w:u w:val="none"/>
        </w:rPr>
      </w:pPr>
      <w:r>
        <w:rPr>
          <w:rFonts w:cs="David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60"/>
        <w:ind w:end="0"/>
        <w:jc w:val="both"/>
        <w:rPr>
          <w:rFonts w:cs="FrankRuehl"/>
          <w:szCs w:val="24"/>
        </w:rPr>
      </w:pPr>
      <w:bookmarkStart w:id="13" w:name="ABSTRACT_START"/>
      <w:bookmarkEnd w:id="13"/>
      <w:r>
        <w:rPr>
          <w:rFonts w:cs="FrankRuehl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שמיעת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ניכר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מן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הראיות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בתיק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חזר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מכפירתו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הודה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והורשע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על</w:t>
      </w:r>
      <w:r>
        <w:rPr>
          <w:rFonts w:cs="FrankRuehl"/>
          <w:szCs w:val="24"/>
          <w:rtl w:val="true"/>
        </w:rPr>
        <w:t>-</w:t>
      </w:r>
      <w:r>
        <w:rPr>
          <w:rFonts w:cs="FrankRuehl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הודאתו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מתוקן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חבלה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ופציעה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בנסיבות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מחמירות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סעיפים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</w:rPr>
        <w:t>333</w:t>
      </w:r>
      <w:r>
        <w:rPr>
          <w:rFonts w:cs="FrankRuehl"/>
          <w:szCs w:val="24"/>
          <w:rtl w:val="true"/>
        </w:rPr>
        <w:t xml:space="preserve"> + </w:t>
      </w:r>
      <w:r>
        <w:rPr>
          <w:rFonts w:cs="FrankRuehl"/>
          <w:szCs w:val="24"/>
        </w:rPr>
        <w:t>335</w:t>
      </w:r>
      <w:r>
        <w:rPr>
          <w:rFonts w:cs="FrankRuehl"/>
          <w:szCs w:val="24"/>
          <w:rtl w:val="true"/>
        </w:rPr>
        <w:t>(</w:t>
      </w:r>
      <w:r>
        <w:rPr>
          <w:rFonts w:cs="FrankRuehl"/>
          <w:szCs w:val="24"/>
          <w:rtl w:val="true"/>
        </w:rPr>
        <w:t>א</w:t>
      </w:r>
      <w:r>
        <w:rPr>
          <w:rFonts w:cs="FrankRuehl"/>
          <w:szCs w:val="24"/>
          <w:rtl w:val="true"/>
        </w:rPr>
        <w:t>)(</w:t>
      </w:r>
      <w:r>
        <w:rPr>
          <w:rFonts w:cs="FrankRuehl"/>
          <w:szCs w:val="24"/>
        </w:rPr>
        <w:t>1</w:t>
      </w:r>
      <w:r>
        <w:rPr>
          <w:rFonts w:cs="FrankRuehl"/>
          <w:szCs w:val="24"/>
          <w:rtl w:val="true"/>
        </w:rPr>
        <w:t xml:space="preserve">) </w:t>
      </w:r>
      <w:r>
        <w:rPr>
          <w:rFonts w:cs="FrankRuehl"/>
          <w:szCs w:val="24"/>
          <w:rtl w:val="true"/>
        </w:rPr>
        <w:t>לחוק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העונשין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תשל</w:t>
      </w:r>
      <w:r>
        <w:rPr>
          <w:rFonts w:cs="FrankRuehl"/>
          <w:szCs w:val="24"/>
          <w:rtl w:val="true"/>
        </w:rPr>
        <w:t>"</w:t>
      </w:r>
      <w:r>
        <w:rPr>
          <w:rFonts w:cs="FrankRuehl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</w:rPr>
        <w:t>1977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חלף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העבירה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שיוחסה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המקורי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דהיינו</w:t>
      </w:r>
      <w:r>
        <w:rPr>
          <w:rFonts w:cs="FrankRuehl"/>
          <w:szCs w:val="24"/>
          <w:rtl w:val="true"/>
        </w:rPr>
        <w:t>,</w:t>
      </w:r>
      <w:r>
        <w:rPr>
          <w:rFonts w:cs="FrankRuehl"/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חבלה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בכוונה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מחמירה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</w:rPr>
        <w:t>329</w:t>
      </w:r>
      <w:r>
        <w:rPr>
          <w:rFonts w:cs="FrankRuehl"/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לחוק</w:t>
      </w:r>
      <w:r>
        <w:rPr>
          <w:rFonts w:cs="FrankRuehl"/>
          <w:szCs w:val="24"/>
          <w:rtl w:val="true"/>
        </w:rPr>
        <w:t xml:space="preserve">. </w:t>
      </w:r>
      <w:r>
        <w:rPr>
          <w:rFonts w:cs="FrankRuehl"/>
          <w:szCs w:val="24"/>
          <w:rtl w:val="true"/>
        </w:rPr>
        <w:t>המדובר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באירוע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אלים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שיוחס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לנאשם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בגדרו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תקף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בצוותא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אחר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שזהותו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אינו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ידועה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מר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ראג</w:t>
      </w:r>
      <w:r>
        <w:rPr>
          <w:rFonts w:cs="FrankRuehl"/>
          <w:szCs w:val="24"/>
          <w:rtl w:val="true"/>
        </w:rPr>
        <w:t>'</w:t>
      </w:r>
      <w:r>
        <w:rPr>
          <w:rFonts w:cs="FrankRuehl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עבד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אלרחמן</w:t>
      </w:r>
      <w:r>
        <w:rPr>
          <w:rFonts w:cs="FrankRuehl"/>
          <w:szCs w:val="24"/>
          <w:rtl w:val="true"/>
        </w:rPr>
        <w:t xml:space="preserve">, </w:t>
      </w:r>
      <w:r>
        <w:rPr>
          <w:rFonts w:cs="FrankRuehl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שהיכה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בראשו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ובפלג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גופו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העליון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ודקר</w:t>
      </w:r>
      <w:r>
        <w:rPr>
          <w:szCs w:val="24"/>
          <w:rtl w:val="true"/>
        </w:rPr>
        <w:t xml:space="preserve"> </w:t>
      </w:r>
      <w:r>
        <w:rPr>
          <w:rFonts w:cs="FrankRuehl"/>
          <w:szCs w:val="24"/>
          <w:rtl w:val="true"/>
        </w:rPr>
        <w:t>אותו</w:t>
      </w:r>
      <w:bookmarkStart w:id="14" w:name="ABSTRACT_END"/>
      <w:bookmarkEnd w:id="14"/>
      <w:r>
        <w:rPr>
          <w:rFonts w:cs="FrankRuehl"/>
          <w:szCs w:val="24"/>
          <w:rtl w:val="true"/>
        </w:rPr>
        <w:t>.</w:t>
      </w:r>
    </w:p>
    <w:p>
      <w:pPr>
        <w:pStyle w:val="Heading1"/>
        <w:spacing w:lineRule="exact" w:line="26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Heading5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bookmarkStart w:id="15" w:name="PsakDin"/>
      <w:bookmarkEnd w:id="15"/>
      <w:r>
        <w:rPr>
          <w:rFonts w:cs="David"/>
          <w:sz w:val="22"/>
          <w:sz w:val="22"/>
          <w:szCs w:val="24"/>
          <w:rtl w:val="true"/>
        </w:rPr>
        <w:t>גזר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דין</w:t>
      </w:r>
    </w:p>
    <w:p>
      <w:pPr>
        <w:pStyle w:val="Heading5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bookmarkStart w:id="16" w:name="PsakDin"/>
      <w:bookmarkEnd w:id="16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שמיעת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ניכר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מכפירתו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הודאתו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מתוקן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ופציעה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מחמירות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סעיפים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333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 xml:space="preserve"> + </w:t>
        </w:r>
        <w:r>
          <w:rPr>
            <w:rStyle w:val="Hyperlink"/>
            <w:rFonts w:cs="David"/>
            <w:color w:val="0000FF"/>
            <w:sz w:val="22"/>
            <w:szCs w:val="24"/>
          </w:rPr>
          <w:t>335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)(</w:t>
        </w:r>
        <w:r>
          <w:rPr>
            <w:rStyle w:val="Hyperlink"/>
            <w:rFonts w:cs="David"/>
            <w:color w:val="0000FF"/>
            <w:sz w:val="22"/>
            <w:szCs w:val="24"/>
          </w:rPr>
          <w:t>1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1977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David"/>
          <w:sz w:val="22"/>
          <w:szCs w:val="24"/>
          <w:rtl w:val="true"/>
        </w:rPr>
        <w:t xml:space="preserve">"), </w:t>
      </w:r>
      <w:r>
        <w:rPr>
          <w:rFonts w:cs="David"/>
          <w:sz w:val="22"/>
          <w:sz w:val="22"/>
          <w:szCs w:val="24"/>
          <w:rtl w:val="true"/>
        </w:rPr>
        <w:t>חלף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שיוחסה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המקורי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דהיינו</w:t>
      </w:r>
      <w:r>
        <w:rPr>
          <w:rFonts w:cs="David"/>
          <w:sz w:val="22"/>
          <w:szCs w:val="24"/>
          <w:rtl w:val="true"/>
        </w:rPr>
        <w:t>,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בכוונה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מחמירה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329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שיוחס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בגדרו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בצוותא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שזהותו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ידועה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ראג</w:t>
      </w:r>
      <w:r>
        <w:rPr>
          <w:rFonts w:cs="David"/>
          <w:sz w:val="22"/>
          <w:szCs w:val="24"/>
          <w:rtl w:val="true"/>
        </w:rPr>
        <w:t>'</w:t>
      </w: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אלרחמן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"),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ובפלג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העליון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שבבעלותו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נוסעים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ברחוב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השלישית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בירושלים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ונוסעיו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להוציא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מטענם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המטען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לפתע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להתקרב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מלווה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שירדו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מהרכב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לעזור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בתגובה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לדקור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בניסיון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שדלת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פתוחה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ברשותו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ובאמצעותו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באקט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ריסס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לכיוון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הסכין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נשמטה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כופף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כתוצאה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המדמיע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שפגע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בעיניו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להדוף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לטענתו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בסכין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שירד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בכתפו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להימלט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שרדפו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המשיכו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לתוקפו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התוקפים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למשנהו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בוא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נחזור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הרגנו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פרוט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25.9.01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לקלוט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מספר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הרכב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נכנסו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התוקפים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והבחין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התיישב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הנהג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והרכב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יושביו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עזב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בחקירתו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הנגדית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התזת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המדמיע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לכיוון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נעשתה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לתקיפת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הסכין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התזת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לדקור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וכתוצאה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התמוטט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בריחתו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התאפשרה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לטענתו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נוסף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בצוותא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בהמשך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חקירתו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בהודעתו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וטען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הדקירה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התבצעה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שרדפו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להימלט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שנתבקש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הסתירות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בגרסאותיו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אז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להימלט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למרחק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שירדו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מהרכב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לשרוט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בכתפו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שנפל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הרצפה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המשיכו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להכותו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שהדבר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בהודעתו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rFonts w:cs="David"/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שנמסרה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בהודעתו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28.3.99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ת</w:t>
      </w:r>
      <w:r>
        <w:rPr>
          <w:rFonts w:cs="David"/>
          <w:sz w:val="22"/>
          <w:szCs w:val="24"/>
          <w:rtl w:val="true"/>
        </w:rPr>
        <w:t>/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), </w:t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שהמתין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לאשתו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בישיבה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ברחוב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הנביא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פנה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שהכיר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ושמו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נחמן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וביקש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יסיע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לרחוב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השלישית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והסיע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כמבוקש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שהשניים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ברחוב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השלישית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להמשיך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בנסיעתו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לפתע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בצבע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מרוחקת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וחסמה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נסיעתו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הנוסעים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ירדו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וביקשו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להוציא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המטען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מזוודותיהם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ס</w:t>
      </w:r>
      <w:r>
        <w:rPr>
          <w:rFonts w:cs="David"/>
          <w:sz w:val="22"/>
          <w:szCs w:val="24"/>
          <w:rtl w:val="true"/>
        </w:rPr>
        <w:t xml:space="preserve">') </w:t>
      </w:r>
      <w:r>
        <w:rPr>
          <w:rFonts w:cs="David"/>
          <w:sz w:val="22"/>
          <w:sz w:val="22"/>
          <w:szCs w:val="24"/>
          <w:rtl w:val="true"/>
        </w:rPr>
        <w:t>מסייע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טוען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קרוב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למדרכה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מאפשר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לרכבים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שהצטופפו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בינתיים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ארוכה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מאחורי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סובלנות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–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אין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24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וביקש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הדרך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אם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הייתי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מפחד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להסתבך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ולחזור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לבית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הסוהר</w:t>
      </w:r>
      <w:r>
        <w:rPr>
          <w:rFonts w:cs="David"/>
          <w:i/>
          <w:iCs/>
          <w:sz w:val="22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הייתי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טוחן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אותך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28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פתח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להתקרב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לשוחח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כשהבחין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מתכופף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במטרה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להוציא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הנהג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ומשסבר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והוציא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מתקפלת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גידף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להכותו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נשברה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להתיז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שגרם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לאיבוד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ראייתו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יתקוף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להכותו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שברשותו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לנוס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המהומה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הנמשכת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זעקותיו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יצחק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הנוסעים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שהסיע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בוא</w:t>
      </w:r>
      <w:r>
        <w:rPr>
          <w:rFonts w:cs="David"/>
          <w:i/>
          <w:iCs/>
          <w:sz w:val="22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בוא</w:t>
      </w:r>
      <w:r>
        <w:rPr>
          <w:rFonts w:cs="David"/>
          <w:i/>
          <w:iCs/>
          <w:sz w:val="22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הרגנו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השניים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נכנסו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לרכב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ועזבו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עיקרי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שעלתה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בהודעתו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במשטרה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וטען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התקיפה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שלבים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שותף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לחלקו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במהלכו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ברשותו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בחקירתו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הנגדית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נחקר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שגרמו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מלכתחילה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ולהתקרב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והשיב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ששגה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כוונתו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הייתה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לתפוס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הכתפיים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שלו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בשתי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ידיים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ולומר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Cs/>
          <w:sz w:val="22"/>
          <w:szCs w:val="24"/>
          <w:rtl w:val="true"/>
        </w:rPr>
        <w:t>'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תיסע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כבר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ותן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לעבור</w:t>
      </w:r>
      <w:r>
        <w:rPr>
          <w:rFonts w:cs="David"/>
          <w:i/>
          <w:iCs/>
          <w:sz w:val="22"/>
          <w:szCs w:val="24"/>
          <w:rtl w:val="true"/>
        </w:rPr>
        <w:t>'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פרוט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21.3.01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כשנשאל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מדוע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שסבר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מחזיק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השיב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באותו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רגע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באמת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עשיתי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טעות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שניגשתי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אליו</w:t>
      </w:r>
      <w:r>
        <w:rPr>
          <w:rFonts w:cs="David"/>
          <w:i/>
          <w:iCs/>
          <w:sz w:val="22"/>
          <w:szCs w:val="24"/>
          <w:rtl w:val="true"/>
        </w:rPr>
        <w:t xml:space="preserve">.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זו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היתה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שטות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מצידי</w:t>
      </w:r>
      <w:r>
        <w:rPr>
          <w:rFonts w:cs="David"/>
          <w:i/>
          <w:iCs/>
          <w:sz w:val="22"/>
          <w:szCs w:val="24"/>
          <w:rtl w:val="true"/>
        </w:rPr>
        <w:t xml:space="preserve">.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יודע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מה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רציתי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להוכיח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אחרי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מה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שהוא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אמר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לי</w:t>
      </w:r>
      <w:r>
        <w:rPr>
          <w:rFonts w:cs="David"/>
          <w:i/>
          <w:iCs/>
          <w:sz w:val="22"/>
          <w:szCs w:val="24"/>
          <w:rtl w:val="true"/>
        </w:rPr>
        <w:t>...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לעניין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כוונתו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הבהיר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רציתי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לפצוע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אותו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ולא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להרוג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בסופה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החקירה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הבהיר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להימלטותו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ומניסיונות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המשטרה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לאתרו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ולחשש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מהנזק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לחובתו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מבוטל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נבהל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כששמע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צעקות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</w:t>
      </w:r>
      <w:r>
        <w:rPr>
          <w:rFonts w:cs="David"/>
          <w:sz w:val="22"/>
          <w:szCs w:val="24"/>
          <w:rtl w:val="true"/>
        </w:rPr>
        <w:t>".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עומרי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הוזמן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ההגנה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שנענה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למודעה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שהתפרסמה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בגדרה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נקראו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לאירועי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ברח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החומה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השלישית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ששמע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צעקות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שבקעו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הרחוב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ניגש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לחלון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השקיף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הרחוב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בבירור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שהתרחש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התאורה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החזקה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שברחוב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מתקרב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שאחז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ברגלו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כתוצאה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מבעיטת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אז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הבחין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בעודו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מרסס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למעשהו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השבור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להמלט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נשמעו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צעקות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הוא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ערבי</w:t>
      </w:r>
      <w:r>
        <w:rPr>
          <w:rFonts w:cs="David"/>
          <w:i/>
          <w:iCs/>
          <w:sz w:val="22"/>
          <w:szCs w:val="24"/>
          <w:rtl w:val="true"/>
        </w:rPr>
        <w:t xml:space="preserve">,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תפסו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אותו</w:t>
      </w:r>
      <w:r>
        <w:rPr>
          <w:rFonts w:cs="David"/>
          <w:sz w:val="22"/>
          <w:szCs w:val="24"/>
          <w:rtl w:val="true"/>
        </w:rPr>
        <w:t xml:space="preserve">", </w:t>
      </w:r>
      <w:r>
        <w:rPr>
          <w:rFonts w:cs="David"/>
          <w:sz w:val="22"/>
          <w:sz w:val="22"/>
          <w:szCs w:val="24"/>
          <w:rtl w:val="true"/>
        </w:rPr>
        <w:t>וקבוצה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שמנתה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לרדוף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למרחק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35-40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מטרים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המרחק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להבחין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במתרחש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שראה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שקבוצת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שרדפה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עיניו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שסיים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הודיעה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מסכימה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להסתפק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בהתרחשות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שבכוונתה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לטעון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להתרחשות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בהסתמך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שהוצג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כתוצאה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המתוקן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כמצוין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הדברים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הופנה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ראשון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מאת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תיאר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אינטליגנט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ומוכשר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בעיקרו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שהפרעות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באישיותו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וקונפליקטים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הנוגעים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למיקומו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ולזהותו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העצמית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הביאוהו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בעייתית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ביטוי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בתנודות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קיצוניות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במצב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רוחו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מגיעות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תוקפנית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הפלילי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מכביד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שתחילתו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14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המסגרות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הוכחו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מתאימות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נכשלו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ותפקודו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הוגדר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נישואיו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וגירושיו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ובהידרדרות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לצרוך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שביטא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מחשבות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אובדניות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יצוין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הניסיונות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ובכללן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ישיבות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חזרתו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בתשובה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בתוהו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והסתמן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להתמודד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ולהיחלץ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רכוש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בשנת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1993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בקבוצת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תמיכה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נרקומנים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האנונימיים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הנוכחית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מאז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פרט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להשתמש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בדיקות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סדיר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המרכז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לנפגעי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המנוהל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בועדנה</w:t>
      </w:r>
      <w:r>
        <w:rPr>
          <w:rFonts w:cs="David"/>
          <w:sz w:val="22"/>
          <w:szCs w:val="24"/>
          <w:rtl w:val="true"/>
        </w:rPr>
        <w:t xml:space="preserve">),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האחרונה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בדיקות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שנמצאו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משרידי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מתסקיר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נלמדה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התמדתו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בטיפול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ארבע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בשבוע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מלמד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עשיר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התמכרות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מספר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וחזרה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בתשובה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משפחה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הנדונה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בבואו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לסכם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המלצתו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התלבט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הפלילי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בעיצומו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כחמישה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שבועות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הראשון</w:t>
      </w:r>
      <w:r>
        <w:rPr>
          <w:rFonts w:cs="David"/>
          <w:sz w:val="22"/>
          <w:szCs w:val="24"/>
          <w:rtl w:val="true"/>
        </w:rPr>
        <w:t xml:space="preserve">).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להמליץ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דחיית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לעקוב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התמדתו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בטיפול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בהתאם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להמלצת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הוריתי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23.5.01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דחיית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12.7.01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שיוגש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מעודכן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שתהיה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התייחסות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לנושא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הראוי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מהתסקיר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במהלך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ליטול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בפעילויות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קרן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התשובה</w:t>
      </w:r>
      <w:r>
        <w:rPr>
          <w:rFonts w:cs="David"/>
          <w:sz w:val="22"/>
          <w:szCs w:val="24"/>
          <w:rtl w:val="true"/>
        </w:rPr>
        <w:t xml:space="preserve">". </w:t>
      </w:r>
      <w:r>
        <w:rPr>
          <w:rFonts w:cs="David"/>
          <w:sz w:val="22"/>
          <w:sz w:val="22"/>
          <w:szCs w:val="24"/>
          <w:rtl w:val="true"/>
        </w:rPr>
        <w:t>הצוות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המטפל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במרכז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החסיר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נדחק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שקיבל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בסדרי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העדיפויות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בחייו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קצרות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שדיווח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פעמי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במריחואנה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השניה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שהחסיר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מהטיפול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מבלי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להביא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הצוות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המטפל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קיומם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נפרדים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היטב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מטרות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ופותח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פתח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למניפולציות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ולהתחמקות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מנטילת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והמליץ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16.10.01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הציגו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ראיותיהם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וסיכמו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טענותיהם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הציגה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גיליון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הנרחב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הכולל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השאר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הרשעות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אלימות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רכוש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ממושכות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הרצל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גניש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והרב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יחזקאל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ניסים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אשת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מערכת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היחסים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מנהלת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ותפקודו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עדותה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מלמדת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הממושכים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לעיתים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שנאלץ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להתמודד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משברים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בניסיון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העכשווי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טמון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פוטנציאל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שלראשונה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להבנה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זקוק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מקיף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ויסודי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טיפול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שלטענתה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השלכותיו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מורגשות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מתפקד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כלפיה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ילדיו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העד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הרצל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גניש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כמנהלה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האדמיניסטרטיבי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הקהילה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שביל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לחיים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ביער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אילנות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כארבע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וחצי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לראשונה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לקהילה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עצמאי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בקהילה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קבוצתי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בהצלחה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למשפחתו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נותרו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בקשר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שהפך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השבתות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המשותפות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שערכו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הליווי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הצמוד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שהעניק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משבר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כמיהת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להשתנות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הטיפולי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ולדבריו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אני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מבטיח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שבעוד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שנתיים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הוא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יהיה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אדם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אחר</w:t>
      </w:r>
      <w:r>
        <w:rPr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rFonts w:cs="David"/>
          <w:i/>
          <w:i/>
          <w:iCs/>
          <w:sz w:val="22"/>
          <w:sz w:val="22"/>
          <w:szCs w:val="24"/>
          <w:rtl w:val="true"/>
        </w:rPr>
        <w:t>לגמרי</w:t>
      </w:r>
      <w:r>
        <w:rPr>
          <w:rFonts w:cs="David"/>
          <w:sz w:val="22"/>
          <w:szCs w:val="24"/>
          <w:rtl w:val="true"/>
        </w:rPr>
        <w:t>" (</w:t>
      </w:r>
      <w:r>
        <w:rPr>
          <w:rFonts w:cs="David"/>
          <w:sz w:val="22"/>
          <w:sz w:val="22"/>
          <w:szCs w:val="24"/>
          <w:rtl w:val="true"/>
        </w:rPr>
        <w:t>פרוט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16.10.01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עמ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העד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יחזקאל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ניסים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הכולל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אמת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בירושלים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לאחרונה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השינוי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החיובי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בעיקרו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מתמקד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בהענקת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שיעמדו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לרשותו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בהתמודדויותיו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הרבות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8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בסיכומיה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ההזדמנויות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שבחרו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להרשיעו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שביצע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David"/>
          <w:sz w:val="22"/>
          <w:szCs w:val="24"/>
          <w:rtl w:val="true"/>
        </w:rPr>
        <w:t xml:space="preserve">,  </w:t>
      </w:r>
      <w:r>
        <w:rPr>
          <w:rFonts w:cs="David"/>
          <w:sz w:val="22"/>
          <w:sz w:val="22"/>
          <w:szCs w:val="24"/>
          <w:rtl w:val="true"/>
        </w:rPr>
        <w:t>ולעתים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להאריך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שהושתו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הפעלתן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למעגל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הפשע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להוכחת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רצינות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כוונותיו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להגשת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התמונה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המצטיירת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אפילו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מבקשת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להשית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הולם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מותנה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לזכותו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בסיכומיו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לאמץ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לעובדות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שאירעו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נוגעות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לאירועים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שקדמו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במתרחש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בנוסף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הפגיעות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שנגרמו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לחובתו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שבאימוץ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ללמד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הפגיעות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נגרמו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הבחורים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האחרים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שרדפו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בחבורה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לפקוד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הוכחה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לחילופין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בעידודו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שהדבר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לנסיבותיו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כוחו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ותיאר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המאבקים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יומיים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ניסיונותיו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נלאים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לתפקד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כראוי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טיפולי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בסיס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וולונטרי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ומדווח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הקשורה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מסמים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שתוטל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תכלול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9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מהמקובץ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קיימת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הסכמה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התרחשות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שהציגן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שהדבר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לאירועים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שקדמו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הציגו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מלמדת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במכשיר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הנתמכת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בסיכומיה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השתמשה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במינוח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חפץ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חד</w:t>
      </w:r>
      <w:r>
        <w:rPr>
          <w:rFonts w:cs="David"/>
          <w:sz w:val="22"/>
          <w:szCs w:val="24"/>
          <w:rtl w:val="true"/>
        </w:rPr>
        <w:t xml:space="preserve">", </w:t>
      </w:r>
      <w:r>
        <w:rPr>
          <w:rFonts w:cs="David"/>
          <w:sz w:val="22"/>
          <w:sz w:val="22"/>
          <w:szCs w:val="24"/>
          <w:rtl w:val="true"/>
        </w:rPr>
        <w:t>חלף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המקורי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דהיינו</w:t>
      </w:r>
      <w:r>
        <w:rPr>
          <w:rFonts w:cs="David"/>
          <w:sz w:val="22"/>
          <w:szCs w:val="24"/>
          <w:rtl w:val="true"/>
        </w:rPr>
        <w:t>, "</w:t>
      </w:r>
      <w:r>
        <w:rPr>
          <w:rFonts w:cs="David"/>
          <w:sz w:val="22"/>
          <w:sz w:val="22"/>
          <w:szCs w:val="24"/>
          <w:rtl w:val="true"/>
        </w:rPr>
        <w:t>סכין</w:t>
      </w:r>
      <w:r>
        <w:rPr>
          <w:rFonts w:cs="David"/>
          <w:sz w:val="22"/>
          <w:szCs w:val="24"/>
          <w:rtl w:val="true"/>
        </w:rPr>
        <w:t>".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בנוסף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התקיפה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המשתתפים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בסמוך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שהגיעו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דקר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בכתף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בניגוד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הנתמכת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שהסתיימו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חילופי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הדברים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והתזת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מדמיע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רדפה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קבוצת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ותקפה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10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בהסתמך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כממצא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התקיפה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נעשתה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באמצעות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התקיפה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התבצע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במרחק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לאירועים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שקדמו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אודותיו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התעוררו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מספר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כגון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הכביש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פתח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בחילופי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הקללות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מצאתי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צורך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להכריע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הגרסאות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הסותרות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העובדות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לגביהן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קיימת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הסכמה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ומכוער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במאפייניו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שתוצאותיו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צפויות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תתקבל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תקיפתו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לתקיפת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שאינה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נכללת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אליבא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דגרסת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David"/>
          <w:sz w:val="22"/>
          <w:szCs w:val="24"/>
          <w:rtl w:val="true"/>
        </w:rPr>
        <w:t xml:space="preserve">),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בהיקף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הכוללת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פגיעה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מיותרות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בכביש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הבעייתיות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מתעצמת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מצטרפת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למסכת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מעורב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בעברו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והסתיימה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בהרשעות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בגינן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1992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וחצי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קשירת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לפשע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499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Cs w:val="24"/>
          </w:rPr>
          <w:t>1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החזקת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מכשירי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פריצה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409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והחזקת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144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בשנת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1988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נשלח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ושמונה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מזוין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</w:t>
      </w:r>
      <w:r>
        <w:rPr>
          <w:sz w:val="22"/>
          <w:sz w:val="22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szCs w:val="24"/>
          </w:rPr>
          <w:t>402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rFonts w:cs="David"/>
            <w:color w:val="0000FF"/>
            <w:sz w:val="22"/>
            <w:szCs w:val="24"/>
            <w:rtl w:val="true"/>
          </w:rPr>
          <w:t>)</w:t>
        </w:r>
      </w:hyperlink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הפלילי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אלימות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תקיפת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שוטר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במילוי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תפקידו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זילות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ועוד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מאידך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מגדל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בצוותא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שמונה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שלושה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מנישואיה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הקודמים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רעייתו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וחמישה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משותפים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לשניהם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11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שקלתי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הטענות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שהועלו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וההכרעה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קלה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בסיכומים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בתסקירי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נפרסה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הידרדרותו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הפשע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לעולם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הגמילה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שעבר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הניסיון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העכשווי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שנעשה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</w:t>
      </w:r>
      <w:r>
        <w:rPr>
          <w:rFonts w:cs="David"/>
          <w:sz w:val="22"/>
          <w:szCs w:val="24"/>
          <w:rtl w:val="true"/>
        </w:rPr>
        <w:t xml:space="preserve">, 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ממעגל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והפשע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יתגלה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כניסיון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הרציני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שטענו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שהובאו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הטיעונים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יסודו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מודל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בארץ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מודל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מעורב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חוברים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ומערכת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תהא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מוכנה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סלחנות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מסוימת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סיכויי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גבוהים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דא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עקא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שסלחנות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הופגנה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הערכאות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השונות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הוענקה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ההזדמנות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לשקם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ולצאת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ממעגל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הפשיעה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להאריך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המותנה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תלוי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נגדו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חלף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הפעלתו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שנבחרה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להרשיעו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שביצע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ואולם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הצליח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מושכל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בהזדמנויות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זכה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וממילא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ישכיל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האינטרס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הציבורי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והצורך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להרתיע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יוכלו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לסגת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הרצון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לשקמו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אינני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במאמציו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להשתקם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ותקוותי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תצלח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דרכו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החדשה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שחזקה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דרכו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החדשה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והכלים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החדשים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בחייו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טוען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יסייעו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מבלי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לעובדה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יהא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לרצות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ביצע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תש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מילותינו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מלהביע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סלידה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מהתגברות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תופעת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האלימות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והבריונות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בכביש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הפושה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במקומותינו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בפרט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רצף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פסולה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להקים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תגובה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חריפה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משמעית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שאדוותיה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ילחכו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מבצעים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ומבצעים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בכוח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רצונם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ומאוויהם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נטילת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שתבוא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ביטוי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הולמת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להועיל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לתהליכים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ויכול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תהווה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הבסיס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לשיקומו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11</w:t>
      </w:r>
      <w:r>
        <w:rPr>
          <w:rFonts w:cs="David"/>
          <w:sz w:val="22"/>
          <w:szCs w:val="24"/>
          <w:rtl w:val="true"/>
        </w:rPr>
        <w:t>.</w:t>
        <w:tab/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באיזון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מסקנה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הנוכחי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דומה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 w:val="22"/>
          <w:szCs w:val="24"/>
          <w:rtl w:val="true"/>
        </w:rPr>
        <w:t>לזו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ג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לפצות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5,000</w:t>
      </w:r>
      <w:r>
        <w:rPr>
          <w:rFonts w:cs="David"/>
          <w:sz w:val="22"/>
          <w:szCs w:val="24"/>
          <w:rtl w:val="true"/>
        </w:rPr>
        <w:t xml:space="preserve"> ₪,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תשלומים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ושווים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החל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1.12.01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מהיום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יג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בחשון</w:t>
      </w:r>
      <w:bookmarkStart w:id="17" w:name="Decision1"/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תשס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Cs w:val="24"/>
        </w:rPr>
        <w:t>30.10.01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במעמד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הצדדים</w:t>
      </w:r>
      <w:r>
        <w:rPr>
          <w:rFonts w:cs="David"/>
          <w:sz w:val="22"/>
          <w:szCs w:val="24"/>
          <w:rtl w:val="true"/>
        </w:rPr>
        <w:t xml:space="preserve">.                                                                          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color w:val="FFFFFF"/>
                <w:sz w:val="4"/>
                <w:szCs w:val="4"/>
              </w:rPr>
            </w:pPr>
            <w:r>
              <w:rPr>
                <w:rFonts w:cs="David"/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סגל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color w:val="FF0000"/>
          <w:sz w:val="22"/>
          <w:szCs w:val="24"/>
        </w:rPr>
      </w:pPr>
      <w:r>
        <w:rPr>
          <w:rFonts w:cs="David"/>
          <w:b/>
          <w:bCs/>
          <w:color w:val="FF0000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bookmarkEnd w:id="17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16"/>
      <w:footerReference w:type="default" r:id="rId1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/Users/liorb/Downloads/study2025-p2/m001060.doc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1060/00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אחיעם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480"/>
      <w:ind w:hanging="0" w:start="0" w:end="0"/>
      <w:jc w:val="center"/>
      <w:outlineLvl w:val="4"/>
    </w:pPr>
    <w:rPr>
      <w:b/>
      <w:bCs/>
      <w:szCs w:val="2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9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9" TargetMode="External"/><Relationship Id="rId9" Type="http://schemas.openxmlformats.org/officeDocument/2006/relationships/hyperlink" Target="http://www.nevo.co.il/law/70301/499.1" TargetMode="External"/><Relationship Id="rId10" Type="http://schemas.openxmlformats.org/officeDocument/2006/relationships/hyperlink" Target="http://www.nevo.co.il/law/70301/333;335.a.1" TargetMode="External"/><Relationship Id="rId11" Type="http://schemas.openxmlformats.org/officeDocument/2006/relationships/hyperlink" Target="http://www.nevo.co.il/law/70301/329" TargetMode="External"/><Relationship Id="rId12" Type="http://schemas.openxmlformats.org/officeDocument/2006/relationships/hyperlink" Target="http://www.nevo.co.il/law/70301/499.1" TargetMode="External"/><Relationship Id="rId13" Type="http://schemas.openxmlformats.org/officeDocument/2006/relationships/hyperlink" Target="http://www.nevo.co.il/law/70301/40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2017-12-18T17:46:00Z</dcterms:created>
  <dc:creator> </dc:creator>
  <dc:description/>
  <cp:keywords/>
  <dc:language>en-IL</dc:language>
  <cp:lastModifiedBy>run</cp:lastModifiedBy>
  <cp:lastPrinted>2001-10-30T08:07:00Z</cp:lastPrinted>
  <dcterms:modified xsi:type="dcterms:W3CDTF">2017-12-18T17:46:00Z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אחיעם משה</vt:lpwstr>
  </property>
  <property fmtid="{D5CDD505-2E9C-101B-9397-08002B2CF9AE}" pid="4" name="CITY">
    <vt:lpwstr>י-ם</vt:lpwstr>
  </property>
  <property fmtid="{D5CDD505-2E9C-101B-9397-08002B2CF9AE}" pid="5" name="DATE">
    <vt:lpwstr>20011104</vt:lpwstr>
  </property>
  <property fmtid="{D5CDD505-2E9C-101B-9397-08002B2CF9AE}" pid="6" name="ISABSTRACT">
    <vt:lpwstr>Y</vt:lpwstr>
  </property>
  <property fmtid="{D5CDD505-2E9C-101B-9397-08002B2CF9AE}" pid="7" name="JUDGE">
    <vt:lpwstr>צבי סגל</vt:lpwstr>
  </property>
  <property fmtid="{D5CDD505-2E9C-101B-9397-08002B2CF9AE}" pid="8" name="LAWLISTTMP1">
    <vt:lpwstr>70301/333;335.a.1;329;499.1;409;144.a;402.b</vt:lpwstr>
  </property>
  <property fmtid="{D5CDD505-2E9C-101B-9397-08002B2CF9AE}" pid="9" name="LAWYER">
    <vt:lpwstr>אפרת רבהון;אשר אוחיון</vt:lpwstr>
  </property>
  <property fmtid="{D5CDD505-2E9C-101B-9397-08002B2CF9AE}" pid="10" name="PAGE">
    <vt:lpwstr/>
  </property>
  <property fmtid="{D5CDD505-2E9C-101B-9397-08002B2CF9AE}" pid="11" name="PART">
    <vt:lpwstr/>
  </property>
  <property fmtid="{D5CDD505-2E9C-101B-9397-08002B2CF9AE}" pid="12" name="PROCESS">
    <vt:lpwstr>תפ</vt:lpwstr>
  </property>
  <property fmtid="{D5CDD505-2E9C-101B-9397-08002B2CF9AE}" pid="13" name="PROCNUM">
    <vt:lpwstr>1060</vt:lpwstr>
  </property>
  <property fmtid="{D5CDD505-2E9C-101B-9397-08002B2CF9AE}" pid="14" name="PROCYEAR">
    <vt:lpwstr>00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6</vt:lpwstr>
  </property>
</Properties>
</file>