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10627-01-17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כף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2848"/>
        <w:gridCol w:w="923"/>
      </w:tblGrid>
      <w:tr>
        <w:trPr>
          <w:trHeight w:val="295" w:hRule="atLeast"/>
        </w:trPr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סגן הנשיאה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 אליהו ביתן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92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ואליד אלבאז 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מחמד אבו כף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אבנר שמש 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u w:val="single"/>
        </w:rPr>
      </w:pPr>
      <w:bookmarkStart w:id="8" w:name="PsakDin"/>
      <w:bookmarkEnd w:id="8"/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הועסק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בסופרמרקט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קינגסטור</w:t>
      </w:r>
      <w:r>
        <w:rPr>
          <w:rtl w:val="true"/>
        </w:rPr>
        <w:t xml:space="preserve">"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כעוזר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באקר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באקר</w:t>
      </w:r>
      <w:r>
        <w:rPr>
          <w:rtl w:val="true"/>
        </w:rPr>
        <w:t xml:space="preserve">")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בסופר</w:t>
      </w:r>
      <w:r>
        <w:rPr>
          <w:rtl w:val="true"/>
        </w:rPr>
        <w:t xml:space="preserve">. </w:t>
      </w:r>
      <w:r>
        <w:rPr>
          <w:rtl w:val="true"/>
        </w:rPr>
        <w:t>והאחראי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מצרי</w:t>
      </w:r>
      <w:r>
        <w:rPr>
          <w:rtl w:val="true"/>
        </w:rPr>
        <w:t xml:space="preserve">"),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הסופר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ראשון</w:t>
      </w:r>
    </w:p>
    <w:p>
      <w:pPr>
        <w:pStyle w:val="Normal"/>
        <w:spacing w:lineRule="auto" w:line="360"/>
        <w:ind w:start="720" w:end="0"/>
        <w:jc w:val="start"/>
        <w:rPr/>
      </w:pPr>
      <w:bookmarkStart w:id="11" w:name="ABSTRACT_START"/>
      <w:bookmarkEnd w:id="11"/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באקר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באקר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והפגיש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לקיץ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, </w:t>
      </w:r>
      <w:r>
        <w:rPr>
          <w:rtl w:val="true"/>
        </w:rPr>
        <w:t>וברר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שלישי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רוכש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מצרי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מצרי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</w:t>
      </w:r>
    </w:p>
    <w:p>
      <w:pPr>
        <w:pStyle w:val="Normal"/>
        <w:spacing w:lineRule="auto" w:line="360"/>
        <w:ind w:firstLine="72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ניסיון לסחר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8">
        <w:r>
          <w:rPr>
            <w:rStyle w:val="Hyperlink"/>
            <w:rFonts w:cs="Arial" w:ascii="Arial" w:hAnsi="Arial"/>
            <w:color w:val="0000FF"/>
            <w:u w:val="single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העונשין</w:t>
        </w:r>
      </w:hyperlink>
      <w:r>
        <w:rPr>
          <w:rFonts w:ascii="Arial" w:hAnsi="Arial" w:cs="Arial"/>
          <w:rtl w:val="true"/>
        </w:rPr>
        <w:t xml:space="preserve"> 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hyperlink r:id="rId10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העונשין</w:t>
        </w:r>
      </w:hyperlink>
      <w:r>
        <w:rPr>
          <w:rFonts w:cs="Arial" w:ascii="Arial" w:hAnsi="Arial"/>
          <w:rtl w:val="true"/>
        </w:rPr>
        <w:t xml:space="preserve">"); </w:t>
      </w:r>
      <w:r>
        <w:rPr>
          <w:rFonts w:ascii="Arial" w:hAnsi="Arial" w:cs="Arial"/>
          <w:rtl w:val="true"/>
        </w:rPr>
        <w:t>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וקשירת קשר לפשע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שתי עבירות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מיום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על תנאי וקנס בסך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,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החיסיון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ובמאסרו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-</w:t>
      </w:r>
      <w:r>
        <w:rPr/>
        <w:t>1.6.18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בטעותו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lang w:eastAsia="he-IL"/>
        </w:rPr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 xml:space="preserve">. </w:t>
      </w:r>
      <w:r>
        <w:rPr>
          <w:rtl w:val="true"/>
        </w:rPr>
        <w:t>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tl w:val="true"/>
        </w:rPr>
        <w:t xml:space="preserve">. </w:t>
      </w:r>
      <w:r>
        <w:rPr>
          <w:rtl w:val="true"/>
        </w:rPr>
        <w:t>העברתם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עלומות</w:t>
      </w:r>
      <w:r>
        <w:rPr>
          <w:rtl w:val="true"/>
        </w:rPr>
        <w:t xml:space="preserve">,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, </w:t>
      </w:r>
      <w:r>
        <w:rPr>
          <w:rtl w:val="true"/>
        </w:rPr>
        <w:t>מעצימה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  <w:lang w:eastAsia="he-IL"/>
        </w:rPr>
      </w:pPr>
      <w:r>
        <w:rPr>
          <w:rFonts w:cs="Arial" w:ascii="Arial" w:hAnsi="Arial"/>
          <w:rtl w:val="true"/>
          <w:lang w:eastAsia="he-IL"/>
        </w:rPr>
      </w:r>
    </w:p>
    <w:p>
      <w:pPr>
        <w:pStyle w:val="Normal"/>
        <w:spacing w:lineRule="auto" w:line="360"/>
        <w:ind w:start="1440" w:end="90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כלי הנשק הנסחרים עלולים לעבור מיד ליד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הם לא נרכשו באופן חוקי וחזקה שהם לא נועדו לשמש מטרה חוקית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גם כשהם נמצאים בידי אדם שאינו עבריין טמונה בהם סכנת חיים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קל וחומר אם הם מתגלגלים ומגיעים לידי גורמים עוינים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ועלינו לקחת בחשבון אפשרות זו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להרתיע מפניה ולמנוע את הסכנה המחמירה והולכת הצפויה מן הסחר בנשק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לכן שומה על בית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המשפט להתריע כנגד סכנה זאת ולפעול כנדרש כדי להרתיע מפני עבירה זאת</w:t>
      </w:r>
      <w:r>
        <w:rPr>
          <w:rFonts w:cs="Arial" w:ascii="Arial" w:hAnsi="Arial"/>
          <w:rtl w:val="true"/>
        </w:rPr>
        <w:t>".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– </w:t>
      </w:r>
      <w:hyperlink r:id="rId14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4609/98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טאהא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תק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99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716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90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והוצאת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.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start"/>
        <w:rPr>
          <w:rFonts w:ascii="FrankRuehl" w:hAnsi="FrankRuehl" w:cs="FrankRuehl"/>
          <w:color w:val="000000"/>
          <w:lang w:eastAsia="he-IL"/>
        </w:rPr>
      </w:pPr>
      <w:r>
        <w:rPr>
          <w:b/>
          <w:rtl w:val="true"/>
        </w:rPr>
        <w:t>"</w:t>
      </w:r>
      <w:r>
        <w:rPr>
          <w:b/>
          <w:b/>
          <w:rtl w:val="true"/>
        </w:rPr>
        <w:t>הסדר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טיעון</w:t>
      </w:r>
      <w:r>
        <w:rPr>
          <w:rFonts w:cs="Times New Roman"/>
          <w:b/>
          <w:b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vertAlign w:val="superscript"/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תומו</w:t>
      </w:r>
      <w:r>
        <w:rPr>
          <w:rtl w:val="true"/>
        </w:rPr>
        <w:t xml:space="preserve">.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vertAlign w:val="superscript"/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העשוי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tl w:val="true"/>
        </w:rPr>
        <w:t>. ...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vertAlign w:val="superscript"/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ובמעמדם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". - </w:t>
      </w:r>
      <w:r>
        <w:rPr>
          <w:rFonts w:ascii="FrankRuehl" w:hAnsi="FrankRuehl" w:cs="FrankRuehl"/>
          <w:color w:val="000000"/>
          <w:rtl w:val="true"/>
        </w:rPr>
        <w:t>ע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 xml:space="preserve">פ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1958/98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‏ 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פלוני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פ</w:t>
      </w:r>
      <w:r>
        <w:rPr>
          <w:rFonts w:cs="FrankRuehl" w:ascii="FrankRuehl" w:hAnsi="FrankRuehl"/>
          <w:color w:val="000000"/>
          <w:rtl w:val="true"/>
        </w:rPr>
        <w:t>''</w:t>
      </w:r>
      <w:r>
        <w:rPr>
          <w:rFonts w:ascii="FrankRuehl" w:hAnsi="FrankRuehl" w:cs="FrankRuehl"/>
          <w:color w:val="000000"/>
          <w:rtl w:val="true"/>
        </w:rPr>
        <w:t>ד נז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cs="FrankRuehl" w:ascii="FrankRuehl" w:hAnsi="FrankRuehl"/>
          <w:color w:val="000000"/>
        </w:rPr>
        <w:t>1</w:t>
      </w:r>
      <w:r>
        <w:rPr>
          <w:rFonts w:cs="FrankRuehl" w:ascii="FrankRuehl" w:hAnsi="FrankRuehl"/>
          <w:color w:val="000000"/>
          <w:rtl w:val="true"/>
        </w:rPr>
        <w:t xml:space="preserve">) </w:t>
      </w:r>
      <w:r>
        <w:rPr>
          <w:rFonts w:cs="FrankRuehl" w:ascii="FrankRuehl" w:hAnsi="FrankRuehl"/>
          <w:color w:val="000000"/>
        </w:rPr>
        <w:t>577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start"/>
        <w:rPr/>
      </w:pPr>
      <w:r>
        <w:rPr>
          <w:rFonts w:ascii="FrankRuehl" w:hAnsi="FrankRuehl" w:cs="FrankRuehl"/>
          <w:color w:val="000000"/>
          <w:rtl w:val="true"/>
        </w:rPr>
        <w:t>הרקע להסדר הטיעון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כמוסבר על ידי התביעה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נעוץ בקושי הנוגע לראיות חסויות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ascii="FrankRuehl" w:hAnsi="FrankRuehl" w:cs="FrankRuehl"/>
          <w:color w:val="000000"/>
          <w:rtl w:val="true"/>
        </w:rPr>
        <w:t>מצב בו התביעה נאלצת להסכים לענישה מקלה כדי להימנע מחשיפת מקור ידיעה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מצדיק עקרונית הגעה להסדר טיעון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ascii="FrankRuehl" w:hAnsi="FrankRuehl" w:cs="FrankRuehl"/>
          <w:color w:val="000000"/>
          <w:rtl w:val="true"/>
        </w:rPr>
        <w:t>חזקה על התביעה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המודעת לפרטי הענין החסוי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ששקלה את הענין כראוי</w:t>
      </w:r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start"/>
        <w:rPr/>
      </w:pPr>
      <w:r>
        <w:rPr>
          <w:rFonts w:ascii="FrankRuehl" w:hAnsi="FrankRuehl" w:cs="FrankRuehl"/>
          <w:color w:val="000000"/>
          <w:rtl w:val="true"/>
        </w:rPr>
        <w:t>הרשעת הנאשם מבוססת על הודאתו וזו באה במסגרת הסדר טיעון הכולל הסכמה לענין העונש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בציפיה סבירה שבית המשפט יכבד אותו</w:t>
      </w:r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start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</w:rPr>
        <w:t>העונש המוצע בהסדר כולל מאסר בפועל לתקופה משמעותית ויש בו לתרום להרתעת הנאשם והציבור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start"/>
        <w:rPr/>
      </w:pPr>
      <w:r>
        <w:rPr>
          <w:rFonts w:ascii="FrankRuehl" w:hAnsi="FrankRuehl" w:cs="FrankRuehl"/>
          <w:color w:val="000000"/>
          <w:rtl w:val="true"/>
        </w:rPr>
        <w:t>הודאת הנאשם חסכה זמן שיפוטי ומשאבים ציבוריים נוספים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שהיו נדרשים לצורך ניהול המשפט עד תומו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</w:rPr>
        <w:t>10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נוכח כל האמור אני דן את הנאשם לעונשים הבאים</w:t>
      </w:r>
      <w:r>
        <w:rPr>
          <w:rFonts w:cs="FrankRuehl" w:ascii="FrankRuehl" w:hAnsi="FrankRuehl"/>
          <w:color w:val="000000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ind w:hanging="915" w:start="1635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</w:rPr>
        <w:t>30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 מאסר בפועל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מיום מעצרו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915" w:start="1635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</w:rPr>
        <w:t>12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 xml:space="preserve">חודשי מאסר על תנאי למשך </w:t>
      </w:r>
      <w:r>
        <w:rPr>
          <w:rFonts w:cs="FrankRuehl" w:ascii="FrankRuehl" w:hAnsi="FrankRuehl"/>
          <w:color w:val="000000"/>
        </w:rPr>
        <w:t>3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שנים מיום שחרורו מהמאסר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שלא יעבור</w:t>
      </w:r>
    </w:p>
    <w:p>
      <w:pPr>
        <w:pStyle w:val="Normal"/>
        <w:spacing w:lineRule="auto" w:line="360"/>
        <w:ind w:firstLine="720" w:start="720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עבירת נשק המסווגת כפשע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ג</w:t>
      </w:r>
      <w:r>
        <w:rPr>
          <w:rFonts w:cs="FrankRuehl" w:ascii="FrankRuehl" w:hAnsi="FrankRuehl"/>
          <w:color w:val="000000"/>
          <w:rtl w:val="true"/>
        </w:rPr>
        <w:t xml:space="preserve">. 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>.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הקנס ישולם ב</w:t>
      </w:r>
      <w:r>
        <w:rPr>
          <w:rFonts w:cs="FrankRuehl" w:ascii="FrankRuehl" w:hAnsi="FrankRuehl"/>
          <w:color w:val="000000"/>
          <w:rtl w:val="true"/>
        </w:rPr>
        <w:t>-</w:t>
      </w:r>
      <w:r>
        <w:rPr>
          <w:rFonts w:cs="FrankRuehl" w:ascii="FrankRuehl" w:hAnsi="FrankRuehl"/>
          <w:color w:val="000000"/>
        </w:rPr>
        <w:t>5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 xml:space="preserve">תשלומים חודשיים שווים ורצופים החל מיום </w:t>
      </w:r>
      <w:r>
        <w:rPr>
          <w:rFonts w:cs="FrankRuehl" w:ascii="FrankRuehl" w:hAnsi="FrankRuehl"/>
          <w:color w:val="000000"/>
        </w:rPr>
        <w:t>01.01.18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ascii="FrankRuehl" w:hAnsi="FrankRuehl" w:cs="FrankRuehl"/>
          <w:color w:val="000000"/>
          <w:rtl w:val="true"/>
        </w:rPr>
        <w:t>תשלום שלא ישולם במועדו יעמיד את כל יתרת הסכום לפרעון מיידי</w:t>
      </w:r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b/>
          <w:bCs/>
          <w:color w:val="000000"/>
        </w:rPr>
      </w:pPr>
      <w:r>
        <w:rPr>
          <w:rFonts w:ascii="FrankRuehl" w:hAnsi="FrankRuehl" w:cs="FrankRuehl"/>
          <w:b/>
          <w:b/>
          <w:bCs/>
          <w:color w:val="000000"/>
          <w:rtl w:val="true"/>
        </w:rPr>
        <w:t xml:space="preserve">זכות ערעור תוך </w:t>
      </w:r>
      <w:r>
        <w:rPr>
          <w:rFonts w:cs="FrankRuehl" w:ascii="FrankRuehl" w:hAnsi="FrankRuehl"/>
          <w:b/>
          <w:bCs/>
          <w:color w:val="000000"/>
        </w:rPr>
        <w:t>45</w:t>
      </w:r>
      <w:r>
        <w:rPr>
          <w:rFonts w:cs="FrankRuehl" w:ascii="FrankRuehl" w:hAnsi="FrankRuehl"/>
          <w:b/>
          <w:bCs/>
          <w:color w:val="000000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>יום</w:t>
      </w:r>
      <w:r>
        <w:rPr>
          <w:rFonts w:cs="FrankRuehl" w:ascii="FrankRuehl" w:hAnsi="FrankRuehl"/>
          <w:b/>
          <w:bCs/>
          <w:color w:val="000000"/>
          <w:rtl w:val="true"/>
        </w:rPr>
        <w:t>.</w:t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color w:val="000000"/>
        </w:rPr>
      </w:pPr>
      <w:r>
        <w:rPr>
          <w:rFonts w:cs="FrankRuehl" w:ascii="FrankRuehl" w:hAnsi="FrankRuehl"/>
          <w:b/>
          <w:bCs/>
          <w:color w:val="000000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10627-01-17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אבו כף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sz w:val="2"/>
        <w:szCs w:val="24"/>
        <w:rFonts w:ascii="Times New Roman" w:hAnsi="Times New Roman" w:cs="Times New Roman"/>
        <w:color w:val="000000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635" w:hanging="915"/>
      </w:pPr>
      <w:rPr>
        <w:rFonts w:cs="David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Times New Roman" w:hAnsi="Times New Roman" w:cs="Times New Roman"/>
      <w:color w:val="000000"/>
      <w:sz w:val="2"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25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case/5707014" TargetMode="External"/><Relationship Id="rId15" Type="http://schemas.openxmlformats.org/officeDocument/2006/relationships/hyperlink" Target="http://www.nevo.co.il/case/5910650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2018-05-08T13:11:00Z</dcterms:created>
  <dc:creator> </dc:creator>
  <dc:description/>
  <cp:keywords/>
  <dc:language>en-IL</dc:language>
  <cp:lastModifiedBy>run</cp:lastModifiedBy>
  <dcterms:modified xsi:type="dcterms:W3CDTF">2018-05-08T13:11:00Z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אבו כף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5707014;5910650</vt:lpwstr>
  </property>
  <property fmtid="{D5CDD505-2E9C-101B-9397-08002B2CF9AE}" pid="9" name="CITY">
    <vt:lpwstr>ב"ש</vt:lpwstr>
  </property>
  <property fmtid="{D5CDD505-2E9C-101B-9397-08002B2CF9AE}" pid="10" name="DATE">
    <vt:lpwstr>20171213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70301/144.b2:2;025;144.a;499.a.1</vt:lpwstr>
  </property>
  <property fmtid="{D5CDD505-2E9C-101B-9397-08002B2CF9AE}" pid="15" name="LAWYER">
    <vt:lpwstr>ואליד אלבאז;אבנר שמש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10627</vt:lpwstr>
  </property>
  <property fmtid="{D5CDD505-2E9C-101B-9397-08002B2CF9AE}" pid="22" name="NEWPARTB">
    <vt:lpwstr>01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390020171213</vt:lpwstr>
  </property>
  <property fmtid="{D5CDD505-2E9C-101B-9397-08002B2CF9AE}" pid="34" name="TYPE_N_DATE">
    <vt:lpwstr>39020171213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