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10686-05-20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עאזם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רינצקי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עבד אל פתאח עאזם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איהאב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מצארוה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טרם הסתיים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בעניין הנאשם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</w:t>
      </w:r>
      <w:r>
        <w:rPr>
          <w:rtl w:val="true"/>
        </w:rPr>
        <w:t>(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 בעבירת נשיאה והובלת נשק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לפי </w:t>
      </w:r>
      <w:hyperlink r:id="rId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ל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27.4.20</w:t>
      </w:r>
      <w:r>
        <w:rPr>
          <w:rtl w:val="true"/>
        </w:rPr>
        <w:t xml:space="preserve">, </w:t>
      </w:r>
      <w:r>
        <w:rPr>
          <w:rtl w:val="true"/>
        </w:rPr>
        <w:t xml:space="preserve">צעד הנאשם ביחד עם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בשטח פתוח בתוך העיר טייבה לעבר רכבו</w:t>
      </w:r>
      <w:r>
        <w:rPr>
          <w:rtl w:val="true"/>
        </w:rPr>
        <w:t xml:space="preserve">, </w:t>
      </w:r>
      <w:r>
        <w:rPr>
          <w:rtl w:val="true"/>
        </w:rPr>
        <w:t>כשהוא נושא תיק שחור ובו נשק כמפורט</w:t>
      </w:r>
      <w:r>
        <w:rPr>
          <w:rtl w:val="true"/>
        </w:rPr>
        <w:t xml:space="preserve">: </w:t>
      </w:r>
      <w:r>
        <w:rPr>
          <w:rtl w:val="true"/>
        </w:rPr>
        <w:t>רובה סער מסוג קלצ</w:t>
      </w:r>
      <w:r>
        <w:rPr>
          <w:rtl w:val="true"/>
        </w:rPr>
        <w:t>'</w:t>
      </w:r>
      <w:r>
        <w:rPr>
          <w:rtl w:val="true"/>
        </w:rPr>
        <w:t>ניקוב ושתי מחסניות ריקות תואמות</w:t>
      </w:r>
      <w:r>
        <w:rPr>
          <w:rtl w:val="true"/>
        </w:rPr>
        <w:t xml:space="preserve">, </w:t>
      </w:r>
      <w:r>
        <w:rPr>
          <w:rtl w:val="true"/>
        </w:rPr>
        <w:t xml:space="preserve">אקדח חצי אוטומטי מסוג </w:t>
      </w:r>
      <w:r>
        <w:rPr>
          <w:rtl w:val="true"/>
        </w:rPr>
        <w:t>"</w:t>
      </w:r>
      <w:r>
        <w:rPr/>
        <w:t>Para Ordnance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ובו מחסנית המכילה שלושה כדורי אקדח </w:t>
      </w:r>
      <w:r>
        <w:rPr/>
        <w:t>0.45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שהלך לצדו</w:t>
      </w:r>
      <w:r>
        <w:rPr>
          <w:rtl w:val="true"/>
        </w:rPr>
        <w:t xml:space="preserve">, </w:t>
      </w:r>
      <w:r>
        <w:rPr>
          <w:rtl w:val="true"/>
        </w:rPr>
        <w:t>סייע לו בכך שהחזיק בידו שקית ובה שמן לנשק</w:t>
      </w:r>
      <w:r>
        <w:rPr>
          <w:rtl w:val="true"/>
        </w:rPr>
        <w:t xml:space="preserve">, </w:t>
      </w:r>
      <w:r>
        <w:rPr>
          <w:rtl w:val="true"/>
        </w:rPr>
        <w:t>תוך שמודע לקיומו של הנשק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10" w:name="ABSTRACT_END"/>
      <w:bookmarkEnd w:id="10"/>
      <w:r>
        <w:rPr>
          <w:rtl w:val="true"/>
        </w:rPr>
        <w:t xml:space="preserve">ביום </w:t>
      </w:r>
      <w:r>
        <w:rPr/>
        <w:t>13.7.21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 xml:space="preserve">פרי הליך גישור שנוהל בפני שני מותבים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קובו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טרסי</w:t>
      </w:r>
      <w:r>
        <w:rPr>
          <w:rtl w:val="true"/>
        </w:rPr>
        <w:t xml:space="preserve">), </w:t>
      </w:r>
      <w:r>
        <w:rPr>
          <w:rtl w:val="true"/>
        </w:rPr>
        <w:t>במסגרתו הודו והורשעו הנאשמים בעובדות כתב אישום מתוקן ללא הסכמה עונשית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הופנה במסגרת ההסכמות ומפאת גילו לתסקיר</w:t>
      </w:r>
      <w:r>
        <w:rPr>
          <w:rtl w:val="true"/>
        </w:rPr>
        <w:t xml:space="preserve">. </w:t>
      </w:r>
      <w:r>
        <w:rPr>
          <w:rtl w:val="true"/>
        </w:rPr>
        <w:t xml:space="preserve">דיון המשך בעניין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קבוע ליום </w:t>
      </w:r>
      <w:r>
        <w:rPr/>
        <w:t>19.10.22</w:t>
      </w:r>
      <w:r>
        <w:rPr>
          <w:rtl w:val="true"/>
        </w:rPr>
        <w:t xml:space="preserve"> (</w:t>
      </w:r>
      <w:r>
        <w:rPr>
          <w:rtl w:val="true"/>
        </w:rPr>
        <w:t xml:space="preserve">פרוטוקול דיון מיום </w:t>
      </w:r>
      <w:r>
        <w:rPr/>
        <w:t>17.7.22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נעדר הרשעות קודמות</w:t>
      </w:r>
      <w:r>
        <w:rPr>
          <w:rtl w:val="true"/>
        </w:rPr>
        <w:t xml:space="preserve">, </w:t>
      </w:r>
      <w:r>
        <w:rPr>
          <w:rtl w:val="true"/>
        </w:rPr>
        <w:t>סטודנט שנה שלישית בחוג הנדסה אזרחית  באוניברסיטת אריאל</w:t>
      </w:r>
      <w:r>
        <w:rPr>
          <w:rtl w:val="true"/>
        </w:rPr>
        <w:t xml:space="preserve">, </w:t>
      </w:r>
      <w:r>
        <w:rPr>
          <w:rtl w:val="true"/>
        </w:rPr>
        <w:t>עובד ומתגורר במקום</w:t>
      </w:r>
      <w:r>
        <w:rPr>
          <w:rtl w:val="true"/>
        </w:rPr>
        <w:t xml:space="preserve">. </w:t>
      </w:r>
      <w:r>
        <w:rPr>
          <w:rtl w:val="true"/>
        </w:rPr>
        <w:t>הנאשם בן למשפחה טובה</w:t>
      </w:r>
      <w:r>
        <w:rPr>
          <w:rtl w:val="true"/>
        </w:rPr>
        <w:t xml:space="preserve">, </w:t>
      </w:r>
      <w:r>
        <w:rPr>
          <w:rtl w:val="true"/>
        </w:rPr>
        <w:t>אביו עובד כמהנדס חשמל ואמו מורה לאנגלית</w:t>
      </w:r>
      <w:r>
        <w:rPr>
          <w:rtl w:val="true"/>
        </w:rPr>
        <w:t xml:space="preserve">, </w:t>
      </w:r>
      <w:r>
        <w:rPr>
          <w:rtl w:val="true"/>
        </w:rPr>
        <w:t>לנאשם שלושה אחים קטנים</w:t>
      </w:r>
      <w:r>
        <w:rPr>
          <w:rtl w:val="true"/>
        </w:rPr>
        <w:t xml:space="preserve">. </w:t>
      </w:r>
      <w:r>
        <w:rPr>
          <w:rtl w:val="true"/>
        </w:rPr>
        <w:t>הנאשם תיאר יחסים קרובים עם בני משפחה וכי משמש מודל לאחיו הצעירים</w:t>
      </w:r>
      <w:r>
        <w:rPr>
          <w:rtl w:val="true"/>
        </w:rPr>
        <w:t xml:space="preserve">. </w:t>
      </w:r>
      <w:r>
        <w:rPr>
          <w:rtl w:val="true"/>
        </w:rPr>
        <w:t>הנאשם מודה בביצוע העבירה</w:t>
      </w:r>
      <w:r>
        <w:rPr>
          <w:rtl w:val="true"/>
        </w:rPr>
        <w:t xml:space="preserve">, </w:t>
      </w:r>
      <w:r>
        <w:rPr>
          <w:rtl w:val="true"/>
        </w:rPr>
        <w:t>שנעברה בשנה הראשונה ללימודיו</w:t>
      </w:r>
      <w:r>
        <w:rPr>
          <w:rtl w:val="true"/>
        </w:rPr>
        <w:t xml:space="preserve">, </w:t>
      </w:r>
      <w:r>
        <w:rPr>
          <w:rtl w:val="true"/>
        </w:rPr>
        <w:t>אך התקשה להסביר את נסיבותיה ומניעיו</w:t>
      </w:r>
      <w:r>
        <w:rPr>
          <w:rtl w:val="true"/>
        </w:rPr>
        <w:t xml:space="preserve">, </w:t>
      </w:r>
      <w:r>
        <w:rPr>
          <w:rtl w:val="true"/>
        </w:rPr>
        <w:t>הביע חרטה וביטא הבנה להשלכותיה וחומרתה</w:t>
      </w:r>
      <w:r>
        <w:rPr>
          <w:rtl w:val="true"/>
        </w:rPr>
        <w:t xml:space="preserve">. </w:t>
      </w:r>
      <w:r>
        <w:rPr>
          <w:rtl w:val="true"/>
        </w:rPr>
        <w:t>הנאשם שלל מעורבות בסכסוכים אלימים אך משיחה שנערכה עם אביו עלה הרושם</w:t>
      </w:r>
      <w:r>
        <w:rPr>
          <w:rtl w:val="true"/>
        </w:rPr>
        <w:t xml:space="preserve">, </w:t>
      </w:r>
      <w:r>
        <w:rPr>
          <w:rtl w:val="true"/>
        </w:rPr>
        <w:t>שהרקע לעבירה הוא קיום קשרים חברתיים בעייתיים</w:t>
      </w:r>
      <w:r>
        <w:rPr>
          <w:rtl w:val="true"/>
        </w:rPr>
        <w:t xml:space="preserve">, </w:t>
      </w:r>
      <w:r>
        <w:rPr>
          <w:rtl w:val="true"/>
        </w:rPr>
        <w:t>כשלאחר מעצרו בתיק</w:t>
      </w:r>
      <w:r>
        <w:rPr>
          <w:rtl w:val="true"/>
        </w:rPr>
        <w:t xml:space="preserve">, </w:t>
      </w:r>
      <w:r>
        <w:rPr>
          <w:rtl w:val="true"/>
        </w:rPr>
        <w:t>סייע לו לנתק את קשריו השוליים ולהתמקד בלימודיו</w:t>
      </w:r>
      <w:r>
        <w:rPr>
          <w:rtl w:val="true"/>
        </w:rPr>
        <w:t xml:space="preserve">. </w:t>
      </w:r>
      <w:r>
        <w:rPr>
          <w:rtl w:val="true"/>
        </w:rPr>
        <w:t>הנאשם היה נתון בפיקוח מעצרים תקופה ארוכה</w:t>
      </w:r>
      <w:r>
        <w:rPr>
          <w:rtl w:val="true"/>
        </w:rPr>
        <w:t xml:space="preserve">, </w:t>
      </w:r>
      <w:r>
        <w:rPr>
          <w:rtl w:val="true"/>
        </w:rPr>
        <w:t>שולב בקבוצה טיפולית לעצורי בית</w:t>
      </w:r>
      <w:r>
        <w:rPr>
          <w:rtl w:val="true"/>
        </w:rPr>
        <w:t xml:space="preserve">, </w:t>
      </w:r>
      <w:r>
        <w:rPr>
          <w:rtl w:val="true"/>
        </w:rPr>
        <w:t>כשמהתסקיר עולה כי שיתף פעולה והשקיע מאמצים לשוב לניהול שגרת חייו הנורמטיבית</w:t>
      </w:r>
      <w:r>
        <w:rPr>
          <w:rtl w:val="true"/>
        </w:rPr>
        <w:t xml:space="preserve">, </w:t>
      </w:r>
      <w:r>
        <w:rPr>
          <w:rtl w:val="true"/>
        </w:rPr>
        <w:t>רמת מסוכנותו הוערכה כנמוכה</w:t>
      </w:r>
      <w:r>
        <w:rPr>
          <w:rtl w:val="true"/>
        </w:rPr>
        <w:t xml:space="preserve">. </w:t>
      </w:r>
      <w:r>
        <w:rPr>
          <w:rtl w:val="true"/>
        </w:rPr>
        <w:t>בהמלצת שירות המבחן הקל בית המשפט בתנאיו המגבילים והנאשם שב ללמוד</w:t>
      </w:r>
      <w:r>
        <w:rPr>
          <w:rtl w:val="true"/>
        </w:rPr>
        <w:t xml:space="preserve">. </w:t>
      </w:r>
      <w:r>
        <w:rPr>
          <w:rtl w:val="true"/>
        </w:rPr>
        <w:t>במפגש משלים שנערך עמו שב והתרשם שירות המבחן שמדובר בנאשם צעיר</w:t>
      </w:r>
      <w:r>
        <w:rPr>
          <w:rtl w:val="true"/>
        </w:rPr>
        <w:t xml:space="preserve">, </w:t>
      </w:r>
      <w:r>
        <w:rPr>
          <w:rtl w:val="true"/>
        </w:rPr>
        <w:t>שניהל אורח חיים תקין וביצע את העבירה על רקע צורך בהוכחת גבריות וקיום קשרים חברתיים בעיתיים</w:t>
      </w:r>
      <w:r>
        <w:rPr>
          <w:rtl w:val="true"/>
        </w:rPr>
        <w:t xml:space="preserve">. </w:t>
      </w:r>
      <w:r>
        <w:rPr>
          <w:rtl w:val="true"/>
        </w:rPr>
        <w:t>נוכח מוטיבציה טיפולית ונכונות לשקם את חייו</w:t>
      </w:r>
      <w:r>
        <w:rPr>
          <w:rtl w:val="true"/>
        </w:rPr>
        <w:t xml:space="preserve">, </w:t>
      </w:r>
      <w:r>
        <w:rPr>
          <w:rtl w:val="true"/>
        </w:rPr>
        <w:t>בא שירות המבחן בהמלצה להסתפק בענישה בדרך של עבודות שירות לצד צו מבחן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 xml:space="preserve">. </w:t>
      </w:r>
      <w:r>
        <w:rPr>
          <w:rtl w:val="true"/>
        </w:rPr>
        <w:t>רינצקי</w:t>
      </w:r>
      <w:r>
        <w:rPr>
          <w:rtl w:val="true"/>
        </w:rPr>
        <w:t xml:space="preserve">, </w:t>
      </w:r>
      <w:r>
        <w:rPr>
          <w:rtl w:val="true"/>
        </w:rPr>
        <w:t>עמד בטיעוניו על מגמת ההחמרה בעבירות נשק וחומרת מעשי הנאשם</w:t>
      </w:r>
      <w:r>
        <w:rPr>
          <w:rtl w:val="true"/>
        </w:rPr>
        <w:t xml:space="preserve">, </w:t>
      </w:r>
      <w:r>
        <w:rPr>
          <w:rtl w:val="true"/>
        </w:rPr>
        <w:t>שהחזיק ברובה סער שהוא נשק התקפי ואקדח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עתר למתחם עונשי הנע בין </w:t>
      </w:r>
      <w:r>
        <w:rPr/>
        <w:t>60-38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בהתחשב בנסיבותיו</w:t>
      </w:r>
      <w:r>
        <w:rPr>
          <w:rtl w:val="true"/>
        </w:rPr>
        <w:t xml:space="preserve">, </w:t>
      </w:r>
      <w:r>
        <w:rPr>
          <w:rtl w:val="true"/>
        </w:rPr>
        <w:t>מבקש למקמו בתחתית המתחם</w:t>
      </w:r>
      <w:r>
        <w:rPr>
          <w:rtl w:val="true"/>
        </w:rPr>
        <w:t xml:space="preserve">. </w:t>
      </w:r>
      <w:r>
        <w:rPr>
          <w:rtl w:val="true"/>
        </w:rPr>
        <w:t xml:space="preserve">עוד סבור שיש לפגוע גם בכיסו של הנאשם ועתר לקנס מכביד בסך </w:t>
      </w:r>
      <w:r>
        <w:rPr/>
        <w:t>15,000</w:t>
      </w:r>
      <w:r>
        <w:rPr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ביקש לאמץ המלצת שירות המבחן והצביע על כל הנסיבות המקלות שיש בהן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כדי לאפשר חריגה ממתחם העונש</w:t>
      </w:r>
      <w:r>
        <w:rPr>
          <w:rtl w:val="true"/>
        </w:rPr>
        <w:t xml:space="preserve">. </w:t>
      </w:r>
      <w:r>
        <w:rPr>
          <w:rtl w:val="true"/>
        </w:rPr>
        <w:t>כך עמד על התסקיר החיובי שהתקבל</w:t>
      </w:r>
      <w:r>
        <w:rPr>
          <w:rtl w:val="true"/>
        </w:rPr>
        <w:t xml:space="preserve">, </w:t>
      </w:r>
      <w:r>
        <w:rPr>
          <w:rtl w:val="true"/>
        </w:rPr>
        <w:t>שיתוף הפעולה של הנאשם</w:t>
      </w:r>
      <w:r>
        <w:rPr>
          <w:rtl w:val="true"/>
        </w:rPr>
        <w:t xml:space="preserve">, </w:t>
      </w:r>
      <w:r>
        <w:rPr>
          <w:rtl w:val="true"/>
        </w:rPr>
        <w:t>נכונותו להשתלב בטיפול נוסף ועמידתו תקופה ממושכת בתנאים מגבילים</w:t>
      </w:r>
      <w:r>
        <w:rPr>
          <w:rtl w:val="true"/>
        </w:rPr>
        <w:t xml:space="preserve">. </w:t>
      </w:r>
      <w:r>
        <w:rPr>
          <w:rtl w:val="true"/>
        </w:rPr>
        <w:t>עוד ציין</w:t>
      </w:r>
      <w:r>
        <w:rPr>
          <w:rtl w:val="true"/>
        </w:rPr>
        <w:t xml:space="preserve">, </w:t>
      </w:r>
      <w:r>
        <w:rPr>
          <w:rtl w:val="true"/>
        </w:rPr>
        <w:t>כי מדובר בבן למשפחה הנורמטיבית</w:t>
      </w:r>
      <w:r>
        <w:rPr>
          <w:rtl w:val="true"/>
        </w:rPr>
        <w:t xml:space="preserve">, </w:t>
      </w:r>
      <w:r>
        <w:rPr>
          <w:rtl w:val="true"/>
        </w:rPr>
        <w:t>סטודנט להנדסת בניין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ביקש לראות במעשיו מעידה חריגה שלא תחזור על עצמה ולהימנע משליחתו למאסר ממש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הביע צער על מעורבותו בעבירה</w:t>
      </w:r>
      <w:r>
        <w:rPr>
          <w:rtl w:val="true"/>
        </w:rPr>
        <w:t xml:space="preserve">, </w:t>
      </w:r>
      <w:r>
        <w:rPr>
          <w:rtl w:val="true"/>
        </w:rPr>
        <w:t>הסביר שבמועד ביצועה</w:t>
      </w:r>
      <w:r>
        <w:rPr>
          <w:rtl w:val="true"/>
        </w:rPr>
        <w:t xml:space="preserve">, </w:t>
      </w:r>
      <w:r>
        <w:rPr>
          <w:rtl w:val="true"/>
        </w:rPr>
        <w:t>לפני כשנתיים</w:t>
      </w:r>
      <w:r>
        <w:rPr>
          <w:rtl w:val="true"/>
        </w:rPr>
        <w:t xml:space="preserve">, </w:t>
      </w:r>
      <w:r>
        <w:rPr>
          <w:rtl w:val="true"/>
        </w:rPr>
        <w:t>היה מעורב בחברה אחרת אך מאז עושה כל מאמץ כדי להשתקם</w:t>
      </w:r>
      <w:r>
        <w:rPr>
          <w:rtl w:val="true"/>
        </w:rPr>
        <w:t xml:space="preserve">. </w:t>
      </w:r>
      <w:r>
        <w:rPr>
          <w:rtl w:val="true"/>
        </w:rPr>
        <w:t>הנאשם הוסיף</w:t>
      </w:r>
      <w:r>
        <w:rPr>
          <w:rtl w:val="true"/>
        </w:rPr>
        <w:t xml:space="preserve">, </w:t>
      </w:r>
      <w:r>
        <w:rPr>
          <w:rtl w:val="true"/>
        </w:rPr>
        <w:t>כי נכון לשלם את חובו לחברה אך ביקש שיתאפשר לו להשלים את חוק לימודיו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ruller40"/>
        <w:numPr>
          <w:ilvl w:val="0"/>
          <w:numId w:val="1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ascii="David" w:hAnsi="David" w:cs="David"/>
          <w:rtl w:val="true"/>
        </w:rPr>
        <w:t>דומה שאין צורך להכביר מילים באשר לחומרתן של עבירות הנשק וחומרת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מדובר במעשים שפגעו פגיעה מוחשית בערכים המוגנים של שמירה על חיי אדם ושלמות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כל סוגיהן ומיניהן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קשה ומגלמות סכנה ממשית לשלום הציבור ולביטחונו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36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</w:r>
    </w:p>
    <w:p>
      <w:pPr>
        <w:pStyle w:val="ruller5"/>
        <w:bidi w:val="1"/>
        <w:spacing w:lineRule="auto" w:line="360" w:before="0" w:after="120"/>
        <w:ind w:start="1440" w:end="1560"/>
        <w:jc w:val="both"/>
        <w:rPr>
          <w:rFonts w:ascii="David" w:hAnsi="David" w:cs="David"/>
          <w:b/>
          <w:bCs/>
          <w:color w:val="000000"/>
          <w:spacing w:val="10"/>
        </w:rPr>
      </w:pPr>
      <w:r>
        <w:rPr>
          <w:rFonts w:cs="David" w:ascii="David" w:hAnsi="David"/>
          <w:b/>
          <w:bCs/>
          <w:color w:val="000000"/>
          <w:spacing w:val="6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היא התשתית ו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הגורם בלתו איין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>' (</w:t>
      </w:r>
      <w:r>
        <w:rPr>
          <w:rFonts w:cs="David" w:ascii="David" w:hAnsi="David"/>
          <w:b/>
          <w:bCs/>
          <w:color w:val="000000"/>
          <w:spacing w:val="6"/>
        </w:rPr>
        <w:t>causa sine qua non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)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למגוון רחב של עבירות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>...</w:t>
      </w:r>
    </w:p>
    <w:p>
      <w:pPr>
        <w:pStyle w:val="ruller5"/>
        <w:bidi w:val="1"/>
        <w:spacing w:lineRule="auto" w:line="360" w:before="0" w:after="120"/>
        <w:ind w:start="1440" w:end="1560"/>
        <w:jc w:val="both"/>
        <w:rPr>
          <w:rFonts w:ascii="David" w:hAnsi="David" w:cs="David"/>
          <w:b/>
          <w:bCs/>
          <w:color w:val="000000"/>
          <w:spacing w:val="10"/>
        </w:rPr>
      </w:pP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על כן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 xml:space="preserve">מעבר למאמץ 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לשים יד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>...</w:t>
      </w:r>
    </w:p>
    <w:p>
      <w:pPr>
        <w:pStyle w:val="ruller5"/>
        <w:bidi w:val="1"/>
        <w:spacing w:lineRule="auto" w:line="360" w:before="0" w:after="120"/>
        <w:ind w:start="1440" w:end="1559"/>
        <w:jc w:val="both"/>
        <w:rPr>
          <w:rFonts w:eastAsia="Calibri"/>
        </w:rPr>
      </w:pP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 xml:space="preserve">בבחינת 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ייבוש הביצה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המשמשת ערש גידולן של תופעות אלה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pacing w:val="6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b/>
          <w:bCs/>
          <w:color w:val="000000"/>
          <w:spacing w:val="6"/>
          <w:rtl w:val="true"/>
        </w:rPr>
        <w:t xml:space="preserve">' </w:t>
      </w:r>
      <w:r>
        <w:rPr>
          <w:rFonts w:cs="David" w:ascii="David" w:hAnsi="David"/>
          <w:color w:val="000000"/>
          <w:spacing w:val="6"/>
          <w:rtl w:val="true"/>
        </w:rPr>
        <w:t>(</w:t>
      </w:r>
      <w:hyperlink r:id="rId9">
        <w:r>
          <w:rPr>
            <w:rStyle w:val="Hyperlink"/>
            <w:rFonts w:ascii="David" w:hAnsi="David" w:cs="David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6"/>
            <w:u w:val="single"/>
          </w:rPr>
          <w:t>4406/19</w:t>
        </w:r>
      </w:hyperlink>
      <w:r>
        <w:rPr>
          <w:rFonts w:cs="David" w:ascii="David" w:hAnsi="David"/>
          <w:b/>
          <w:bCs/>
          <w:spacing w:val="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6"/>
          <w:rtl w:val="true"/>
        </w:rPr>
        <w:t>מדינת ישראל נ</w:t>
      </w:r>
      <w:r>
        <w:rPr>
          <w:rFonts w:cs="David" w:ascii="David" w:hAnsi="David"/>
          <w:b/>
          <w:bCs/>
          <w:spacing w:val="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6"/>
          <w:rtl w:val="true"/>
        </w:rPr>
        <w:t>סובח</w:t>
      </w:r>
      <w:r>
        <w:rPr>
          <w:rFonts w:ascii="David" w:hAnsi="David" w:cs="David"/>
          <w:spacing w:val="6"/>
          <w:rtl w:val="true"/>
        </w:rPr>
        <w:t xml:space="preserve">  </w:t>
      </w:r>
      <w:r>
        <w:rPr>
          <w:rFonts w:cs="David" w:ascii="David" w:hAnsi="David"/>
          <w:spacing w:val="6"/>
          <w:rtl w:val="true"/>
        </w:rPr>
        <w:t>(</w:t>
      </w:r>
      <w:r>
        <w:rPr>
          <w:rFonts w:cs="David" w:ascii="David" w:hAnsi="David"/>
          <w:spacing w:val="6"/>
        </w:rPr>
        <w:t>5.11.2019</w:t>
      </w:r>
      <w:r>
        <w:rPr>
          <w:rFonts w:cs="David" w:ascii="David" w:hAnsi="David"/>
          <w:spacing w:val="6"/>
          <w:rtl w:val="true"/>
        </w:rPr>
        <w:t>)).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spacing w:val="10"/>
          <w:rtl w:val="true"/>
        </w:rPr>
        <w:t xml:space="preserve">עוד ראו </w:t>
      </w:r>
      <w:hyperlink r:id="rId1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6277/20</w:t>
        </w:r>
      </w:hyperlink>
      <w:r>
        <w:rPr>
          <w:rFonts w:cs="David" w:ascii="David" w:hAnsi="David"/>
          <w:spacing w:val="10"/>
          <w:rtl w:val="true"/>
        </w:rPr>
        <w:t xml:space="preserve">  </w:t>
      </w:r>
      <w:r>
        <w:rPr>
          <w:rFonts w:ascii="David" w:hAnsi="David" w:cs="David"/>
          <w:b/>
          <w:b/>
          <w:bCs/>
          <w:rtl w:val="true"/>
        </w:rPr>
        <w:t>היילי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rtl w:val="true"/>
        </w:rPr>
        <w:t>,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spacing w:val="10"/>
          <w:rtl w:val="true"/>
        </w:rPr>
        <w:t>פ</w:t>
      </w:r>
      <w:r>
        <w:rPr>
          <w:rFonts w:cs="David" w:ascii="David" w:hAnsi="David"/>
          <w:spacing w:val="10"/>
          <w:rtl w:val="true"/>
        </w:rPr>
        <w:t>'</w:t>
      </w:r>
      <w:r>
        <w:rPr>
          <w:rFonts w:cs="David" w:ascii="David" w:hAnsi="David"/>
          <w:spacing w:val="10"/>
        </w:rPr>
        <w:t>37-36</w:t>
      </w:r>
      <w:r>
        <w:rPr>
          <w:rFonts w:cs="David" w:ascii="David" w:hAnsi="David"/>
          <w:spacing w:val="10"/>
          <w:rtl w:val="true"/>
        </w:rPr>
        <w:t>,(</w:t>
      </w:r>
      <w:r>
        <w:rPr>
          <w:rFonts w:cs="David" w:ascii="David" w:hAnsi="David"/>
          <w:spacing w:val="10"/>
        </w:rPr>
        <w:t>24</w:t>
      </w:r>
      <w:r>
        <w:rPr>
          <w:rFonts w:cs="David" w:ascii="David" w:hAnsi="David"/>
          <w:color w:val="000000"/>
          <w:spacing w:val="10"/>
        </w:rPr>
        <w:t>.3.2021</w:t>
      </w:r>
      <w:r>
        <w:rPr>
          <w:rFonts w:cs="David" w:ascii="David" w:hAnsi="David"/>
          <w:color w:val="000000"/>
          <w:spacing w:val="10"/>
          <w:rtl w:val="true"/>
        </w:rPr>
        <w:t>),</w:t>
      </w:r>
      <w:r>
        <w:rPr>
          <w:rFonts w:ascii="David" w:hAnsi="David" w:cs="David"/>
          <w:color w:val="000000"/>
          <w:spacing w:val="10"/>
          <w:rtl w:val="true"/>
        </w:rPr>
        <w:t>והאסמכתאות הרבות  הנזכרות שם</w:t>
      </w:r>
      <w:r>
        <w:rPr>
          <w:rFonts w:cs="David" w:ascii="David" w:hAnsi="David"/>
          <w:color w:val="000000"/>
          <w:spacing w:val="10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צורך השעה הוא להחמיר בענישה בגין עבירות נשק</w:t>
      </w:r>
      <w:r>
        <w:rPr>
          <w:rtl w:val="true"/>
        </w:rPr>
        <w:t xml:space="preserve">, </w:t>
      </w:r>
      <w:r>
        <w:rPr>
          <w:rtl w:val="true"/>
        </w:rPr>
        <w:t>תוך מתן משקל בכורה לשיקולי הרתעה</w:t>
      </w:r>
      <w:r>
        <w:rPr>
          <w:rtl w:val="true"/>
        </w:rPr>
        <w:t xml:space="preserve">, </w:t>
      </w:r>
      <w:r>
        <w:rPr>
          <w:rtl w:val="true"/>
        </w:rPr>
        <w:t>אף אם הנאשמים נעדרי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והאירוע הוא בגדר חריג בנוף חייהם הנורמטיבי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פני נסיבותיו האישיות של הנידון</w:t>
      </w:r>
      <w:r>
        <w:rPr>
          <w:rFonts w:eastAsia="Calibri" w:cs="Calibri" w:ascii="Calibri" w:hAnsi="Calibri"/>
          <w:rtl w:val="true"/>
        </w:rPr>
        <w:t>" (</w:t>
      </w:r>
      <w:hyperlink r:id="rId1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עדאב 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22.5.2022</w:t>
      </w:r>
      <w:r>
        <w:rPr>
          <w:rFonts w:eastAsia="Calibri" w:cs="Calibri" w:ascii="Calibri" w:hAnsi="Calibri"/>
          <w:rtl w:val="true"/>
        </w:rPr>
        <w:t xml:space="preserve">))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קדורה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)).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מגמה זו באה לידי ביטוי גם בחקיקה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 נקבעו עונשי מינימום לעבירות נשק</w:t>
      </w:r>
      <w:r>
        <w:rPr>
          <w:rtl w:val="true"/>
        </w:rPr>
        <w:t xml:space="preserve">, </w:t>
      </w:r>
      <w:r>
        <w:rPr>
          <w:rtl w:val="true"/>
        </w:rPr>
        <w:t>אומנם הוראותיו של תיקון זה אינם חלים בענייננו</w:t>
      </w:r>
      <w:r>
        <w:rPr>
          <w:rtl w:val="true"/>
        </w:rPr>
        <w:t xml:space="preserve">, </w:t>
      </w:r>
      <w:r>
        <w:rPr>
          <w:rtl w:val="true"/>
        </w:rPr>
        <w:t>אך משקפות את כוונת המחוקק להחמרת רף הענישה בעבירות אלו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color w:val="000000"/>
          <w:rtl w:val="true"/>
        </w:rPr>
        <w:t xml:space="preserve">במסגרת </w:t>
      </w:r>
      <w:r>
        <w:rPr>
          <w:b/>
          <w:b/>
          <w:bCs/>
          <w:color w:val="000000"/>
          <w:rtl w:val="true"/>
        </w:rPr>
        <w:t>הנסיבות הקשורות בביצוע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לתת את הדעת</w:t>
      </w:r>
      <w:r>
        <w:rPr>
          <w:rFonts w:ascii="Times New Roman" w:hAnsi="Times New Roman" w:eastAsia="Times New Roman" w:cs="Times New Roman"/>
          <w:rtl w:val="true"/>
        </w:rPr>
        <w:t xml:space="preserve"> לכך שהנאשם הורשע בנשיאת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שני כלי נשק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u w:val="single"/>
          <w:rtl w:val="true"/>
        </w:rPr>
        <w:t>רובה סער קלצ</w:t>
      </w:r>
      <w:r>
        <w:rPr>
          <w:rFonts w:eastAsia="Times New Roman" w:cs="Times New Roman" w:ascii="Times New Roman" w:hAnsi="Times New Roman"/>
          <w:u w:val="single"/>
          <w:rtl w:val="true"/>
        </w:rPr>
        <w:t>'</w:t>
      </w:r>
      <w:r>
        <w:rPr>
          <w:rFonts w:ascii="Times New Roman" w:hAnsi="Times New Roman" w:eastAsia="Times New Roman" w:cs="Times New Roman"/>
          <w:u w:val="single"/>
          <w:rtl w:val="true"/>
        </w:rPr>
        <w:t>ניקוב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נשק התקפי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שפוטנציאל הסיכון הגלום בו הוא גבוה במיוחד ו</w:t>
      </w:r>
      <w:r>
        <w:rPr>
          <w:rFonts w:ascii="Times New Roman" w:hAnsi="Times New Roman" w:eastAsia="Times New Roman" w:cs="Times New Roman"/>
          <w:u w:val="single"/>
          <w:rtl w:val="true"/>
        </w:rPr>
        <w:t xml:space="preserve">אקדח </w:t>
      </w:r>
      <w:r>
        <w:rPr>
          <w:rFonts w:ascii="Times New Roman" w:hAnsi="Times New Roman" w:eastAsia="Times New Roman" w:cs="Times New Roman"/>
          <w:rtl w:val="true"/>
        </w:rPr>
        <w:t>חצי אוטומטי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שמסוכנותו פחותה אך במעט ולצדם מחסניות ותחמושת תואמת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ביצע את המעשה כשנאשם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מסייע בידו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ומחזיק בשקית שמן לשימון הנשק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תפיסת הנשק כשתחמושת תואמת לצדו ושמן לתחזוקה שוטפת מצביעים על נשיאה מתוכננת וכוונה לשימוש בנשק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מסקנה זו מתחזקת בהינתן נסיבות הנשיאה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מחוץ למקום החזקת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בתוך תיק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בשטח פתוח בעיר טייבה כשהנאשמים נראים צועדים לעבר רכבו של הנאשם ליעד לא ידוע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מה הסיבה שבגינה נמצא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צעיר בן טובים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סטודנט להנדסה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מסתובב בעיר מגוריו ביחד 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חמוש בכלי נשק קטלניים</w:t>
      </w:r>
      <w:r>
        <w:rPr>
          <w:rFonts w:eastAsia="Times New Roman" w:cs="Times New Roman" w:ascii="Times New Roman" w:hAnsi="Times New Roman"/>
          <w:rtl w:val="true"/>
        </w:rPr>
        <w:t xml:space="preserve">? </w:t>
      </w:r>
      <w:r>
        <w:rPr>
          <w:rFonts w:ascii="Times New Roman" w:hAnsi="Times New Roman" w:eastAsia="Times New Roman" w:cs="Times New Roman"/>
          <w:rtl w:val="true"/>
        </w:rPr>
        <w:t>לכך לא ניתן מענה מניח את הדעת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ביצוע העבירה והרקע לביצועה נותרו עמומים וככל הנראה קשורים למעורבות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באותה תקופה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בחברה שולית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פוטנציאל הנזק בנשיאת שני כלי נשק מוכנים לשימוש רב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מזה תקופה ארוכה אנו עדים </w:t>
      </w:r>
      <w:r>
        <w:rPr>
          <w:rFonts w:eastAsia="Times New Roman"/>
          <w:rtl w:val="true"/>
        </w:rPr>
        <w:t>ל</w:t>
      </w:r>
      <w:r>
        <w:rPr>
          <w:color w:val="000000"/>
          <w:spacing w:val="10"/>
          <w:rtl w:val="true"/>
        </w:rPr>
        <w:t xml:space="preserve">שימוש </w:t>
      </w:r>
      <w:r>
        <w:rPr>
          <w:rFonts w:ascii="Times New Roman" w:hAnsi="Times New Roman" w:eastAsia="Times New Roman" w:cs="Times New Roman"/>
          <w:rtl w:val="true"/>
        </w:rPr>
        <w:t>תדיר בנשק ככלי לפתרון סכסוכים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לעיתים תוך ירי באזורי מגורים ופגיעות בגוף ובנפש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color w:val="000000"/>
          <w:spacing w:val="10"/>
        </w:rPr>
      </w:pPr>
      <w:r>
        <w:rPr>
          <w:rFonts w:eastAsia="Times New Roman" w:cs="Times New Roman" w:ascii="Times New Roman" w:hAnsi="Times New Roman"/>
          <w:color w:val="000000"/>
          <w:spacing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בערך המוגן מובילה למסקנה כי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לריבוי כלי הנשק מסוגים שונים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המוכנים לשימוש מיידי</w:t>
      </w:r>
      <w:r>
        <w:rPr>
          <w:rFonts w:eastAsia="Times New Roman" w:cs="Times New Roman" w:ascii="Times New Roman" w:hAnsi="Times New Roman"/>
          <w:rtl w:val="true"/>
        </w:rPr>
        <w:t xml:space="preserve">,  </w:t>
      </w:r>
      <w:r>
        <w:rPr>
          <w:rFonts w:ascii="Times New Roman" w:hAnsi="Times New Roman" w:eastAsia="Times New Roman" w:cs="Times New Roman"/>
          <w:rtl w:val="true"/>
        </w:rPr>
        <w:t>נשיאתם באזור פתוח באופן שמלמד על אפשרות שימוש מיידי בהם וביצוע המעשה בשותפות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כשנאשם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מסייע בידו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בצד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הוצגה אינדיקציה לשימוש קונקרטי בנשק או לתכנון עבירה פלילית באמצעותו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מדיניות הענישה 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/>
          <w:b/>
          <w:bCs/>
        </w:rPr>
      </w:pPr>
      <w:r>
        <w:rPr>
          <w:color w:val="000000"/>
          <w:spacing w:val="10"/>
          <w:rtl w:val="true"/>
        </w:rPr>
        <w:t>המגמה בפסיקה היא ליתן את המשקל המכריע לשיקול ההרתעתי תוך העלאת רף הענישה</w:t>
      </w:r>
      <w:r>
        <w:rPr>
          <w:color w:val="000000"/>
          <w:spacing w:val="10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בהקשר זה 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יש להחמיר בענישה גם במקרים שיעדו הסופי של הנשק אינו ידוע </w:t>
      </w:r>
      <w:r>
        <w:rPr>
          <w:rFonts w:ascii="Calibri" w:hAnsi="Calibri"/>
          <w:b/>
          <w:bCs/>
          <w:rtl w:val="true"/>
        </w:rPr>
        <w:t>"</w:t>
      </w:r>
      <w:r>
        <w:rPr>
          <w:rFonts w:ascii="Calibri" w:hAnsi="Calibri"/>
          <w:b/>
          <w:b/>
          <w:bCs/>
          <w:rtl w:val="true"/>
        </w:rPr>
        <w:t>יש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להחמיר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בענישה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בגין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ש</w:t>
      </w:r>
      <w:r>
        <w:rPr>
          <w:rFonts w:ascii="Calibri" w:hAnsi="Calibri"/>
          <w:b/>
          <w:bCs/>
          <w:rtl w:val="true"/>
        </w:rPr>
        <w:t>"</w:t>
      </w:r>
      <w:r>
        <w:rPr>
          <w:rFonts w:ascii="Calibri" w:hAnsi="Calibri"/>
          <w:b/>
          <w:b/>
          <w:bCs/>
          <w:rtl w:val="true"/>
        </w:rPr>
        <w:t>יעדו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הסופי</w:t>
      </w:r>
      <w:r>
        <w:rPr>
          <w:rFonts w:ascii="Calibri" w:hAnsi="Calibri"/>
          <w:b/>
          <w:bCs/>
          <w:rtl w:val="true"/>
        </w:rPr>
        <w:t xml:space="preserve">" </w:t>
      </w:r>
      <w:r>
        <w:rPr>
          <w:rFonts w:ascii="Calibri" w:hAnsi="Calibri"/>
          <w:b/>
          <w:b/>
          <w:bCs/>
          <w:rtl w:val="true"/>
        </w:rPr>
        <w:t>אינו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נהיר</w:t>
      </w:r>
      <w:r>
        <w:rPr>
          <w:rFonts w:ascii="Calibri" w:hAnsi="Calibri"/>
          <w:b/>
          <w:bCs/>
          <w:rtl w:val="true"/>
        </w:rPr>
        <w:t xml:space="preserve">. </w:t>
      </w:r>
      <w:r>
        <w:rPr>
          <w:rFonts w:ascii="Calibri" w:hAnsi="Calibri"/>
          <w:b/>
          <w:b/>
          <w:bCs/>
          <w:rtl w:val="true"/>
        </w:rPr>
        <w:t>לצערנו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בשנים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האחרונות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מורגשת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עלייה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נשק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והחברה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משלמת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כך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מחיר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כבד</w:t>
      </w:r>
      <w:r>
        <w:rPr>
          <w:rFonts w:ascii="Calibri" w:hAnsi="Calibri"/>
          <w:b/>
          <w:bCs/>
          <w:rtl w:val="true"/>
        </w:rPr>
        <w:t xml:space="preserve">. </w:t>
      </w:r>
      <w:r>
        <w:rPr>
          <w:rFonts w:ascii="Calibri" w:hAnsi="Calibri"/>
          <w:b/>
          <w:b/>
          <w:bCs/>
          <w:rtl w:val="true"/>
        </w:rPr>
        <w:t>במחיר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זה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נושאים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ויותר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גם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אזרחים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נורמטיביים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שאינם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מעורבים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בעולם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העברייני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בכלל</w:t>
      </w:r>
      <w:r>
        <w:rPr>
          <w:rFonts w:ascii="Calibri" w:hAnsi="Calibri"/>
          <w:b/>
          <w:bCs/>
          <w:rtl w:val="true"/>
        </w:rPr>
        <w:t xml:space="preserve">, </w:t>
      </w:r>
      <w:r>
        <w:rPr>
          <w:rFonts w:ascii="Calibri" w:hAnsi="Calibri"/>
          <w:b/>
          <w:b/>
          <w:bCs/>
          <w:rtl w:val="true"/>
        </w:rPr>
        <w:t>ובעולם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בפרט</w:t>
      </w:r>
      <w:r>
        <w:rPr>
          <w:rFonts w:ascii="Calibri" w:hAnsi="Calibri"/>
          <w:b/>
          <w:bCs/>
          <w:rtl w:val="true"/>
        </w:rPr>
        <w:t xml:space="preserve">. </w:t>
      </w:r>
      <w:r>
        <w:rPr>
          <w:rFonts w:ascii="Calibri" w:hAnsi="Calibri"/>
          <w:b/>
          <w:b/>
          <w:bCs/>
          <w:rtl w:val="true"/>
        </w:rPr>
        <w:t>ההיקף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הגדול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של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עבירות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הנשק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הופך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את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המרחב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הציבורי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למקום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מסוכן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יותר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ובטוח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פחות</w:t>
      </w:r>
      <w:r>
        <w:rPr>
          <w:rFonts w:ascii="Calibri" w:hAnsi="Calibri"/>
          <w:b/>
          <w:bCs/>
          <w:rtl w:val="true"/>
        </w:rPr>
        <w:t>"</w:t>
      </w:r>
      <w:r>
        <w:rPr>
          <w:rFonts w:ascii="Calibri" w:hAnsi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2101/21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תומר טוביה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29.7.2021</w:t>
      </w:r>
      <w:r>
        <w:rPr>
          <w:rFonts w:eastAsia="Calibri" w:cs="Calibri" w:ascii="Calibri" w:hAnsi="Calibri"/>
          <w:rtl w:val="true"/>
        </w:rPr>
        <w:t>):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ומוסווה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בשכפ</w:t>
      </w:r>
      <w:r>
        <w:rPr>
          <w:rtl w:val="true"/>
        </w:rPr>
        <w:t>"</w:t>
      </w:r>
      <w:r>
        <w:rPr>
          <w:rtl w:val="true"/>
        </w:rPr>
        <w:t>צים</w:t>
      </w:r>
      <w:r>
        <w:rPr>
          <w:rtl w:val="true"/>
        </w:rPr>
        <w:t xml:space="preserve">,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כשלצדם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54-19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איהאב 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 נחאש</w:t>
      </w:r>
      <w:r>
        <w:rPr>
          <w:rtl w:val="true"/>
        </w:rPr>
        <w:t xml:space="preserve">") </w:t>
      </w:r>
      <w:r>
        <w:rPr>
          <w:rtl w:val="true"/>
        </w:rPr>
        <w:t xml:space="preserve">נדון נאשם שהורשע בעבירת נשיאה והובלה של תת מקלע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 xml:space="preserve">ומחסנית למאסר בן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רכש לטענתו את הנשק לשם הגנה עצמית ועבר הליך טיפולי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 ישראל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סמארה</w:t>
      </w:r>
      <w:r>
        <w:rPr>
          <w:color w:val="000000"/>
          <w:rtl w:val="true"/>
        </w:rPr>
        <w:t>(</w:t>
      </w:r>
      <w:r>
        <w:rPr>
          <w:color w:val="000000"/>
        </w:rPr>
        <w:t>29.11.2018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החמיר בית המשפט העליון את עונשו של נאשם שהורשע על פי הודאתו בעבירה של נשיאת נשק ותחמושת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 נשא ברכבו שני רובי קרל גוסטב מאולתרים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מחסניות וכדורים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שוטרים נסעו אחרי רכב הנאשם וכרזו לו לעצור ובעקבות כך הנאשם החל בנסיעה מהירה וכשהגיע לדרך ללא מוצא – נעצר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נקבע מתחם עונש הנע בין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 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הנאשם בעל עבר פלילי ישן נדון לעונש של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 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בית המשפט העליון העמיד את העונש על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 בפועל</w:t>
      </w:r>
      <w:r>
        <w:rPr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47284-06-18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חסונה </w:t>
      </w:r>
      <w:r>
        <w:rPr>
          <w:rtl w:val="true"/>
        </w:rPr>
        <w:t>(</w:t>
      </w:r>
      <w:r>
        <w:rPr/>
        <w:t>3.4.2019</w:t>
      </w:r>
      <w:r>
        <w:rPr>
          <w:rtl w:val="true"/>
        </w:rPr>
        <w:t xml:space="preserve">),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בנסיבות דומות למקרה שלפנינו</w:t>
      </w:r>
      <w:r>
        <w:rPr>
          <w:rtl w:val="true"/>
        </w:rPr>
        <w:t xml:space="preserve">, </w:t>
      </w:r>
      <w:r>
        <w:rPr>
          <w:rtl w:val="true"/>
        </w:rPr>
        <w:t>בעבירה של נשיאת נשק ותחמושת בתא המטען של רכבו</w:t>
      </w:r>
      <w:r>
        <w:rPr>
          <w:rtl w:val="true"/>
        </w:rPr>
        <w:t xml:space="preserve">: </w:t>
      </w:r>
      <w:r>
        <w:rPr>
          <w:color w:val="000000"/>
          <w:rtl w:val="true"/>
        </w:rPr>
        <w:t xml:space="preserve">רובה סער מסוג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קלצ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ניקוב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 xml:space="preserve">ומחסנית תואמת המכילה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פינים וקפיץ המתאימים לרובה מסוג קלצ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ניקוב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ואקדח חצי אוטומטי מסוג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בול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ומחסנית תואמת</w:t>
      </w:r>
      <w:r>
        <w:rPr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נקבע מתחם ענישה הנע בין </w:t>
      </w:r>
      <w:r>
        <w:rPr/>
        <w:t>48-21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נדון 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 הוגש ערעור</w:t>
      </w:r>
      <w:r>
        <w:rPr>
          <w:rtl w:val="true"/>
        </w:rPr>
        <w:t xml:space="preserve">;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עוד מייחסת הפסיקה משנה חומרה לעבירות המבוצעות בנשק התקפי מסוג רובה סער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נשק ארוך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אוטומטי ובעל פוטנציאל קטלני גבוה</w:t>
      </w:r>
      <w:r>
        <w:rPr>
          <w:rFonts w:cs="Times New Roman" w:ascii="Times New Roman" w:hAnsi="Times New Roman"/>
          <w:b/>
          <w:bCs/>
          <w:rtl w:val="true"/>
        </w:rPr>
        <w:t>" (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1695/22</w:t>
        </w:r>
      </w:hyperlink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מוחמד גנאים ואח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29.3.2022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חמאיל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); </w:t>
      </w:r>
      <w:r>
        <w:rPr>
          <w:rtl w:val="true"/>
        </w:rPr>
        <w:t>ענין נחאש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לאחר שבחנתי את נסיבות מעשי הנאשם</w:t>
      </w:r>
      <w:r>
        <w:rPr>
          <w:rtl w:val="true"/>
        </w:rPr>
        <w:t xml:space="preserve">, </w:t>
      </w:r>
      <w:r>
        <w:rPr>
          <w:rtl w:val="true"/>
        </w:rPr>
        <w:t>מידת הפגיעה בערכים המוגנים ומדיניות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אני קובעת מתחם ענישה שנע</w:t>
      </w:r>
      <w:r>
        <w:rPr>
          <w:b/>
          <w:b/>
          <w:bCs/>
          <w:rtl w:val="true"/>
        </w:rPr>
        <w:t xml:space="preserve"> בין </w:t>
      </w:r>
      <w:r>
        <w:rPr>
          <w:b/>
          <w:bCs/>
        </w:rPr>
        <w:t>28-60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לבכר את אינטרס שיקומו של הנאשם</w:t>
      </w:r>
      <w:r>
        <w:rPr>
          <w:rtl w:val="true"/>
        </w:rPr>
        <w:t xml:space="preserve">, </w:t>
      </w:r>
      <w:r>
        <w:rPr>
          <w:rtl w:val="true"/>
        </w:rPr>
        <w:t>לאמץ את המלצת שירות המבחן ולגזור עליו ענישה שיקומית של עבודות שירות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גילו הצעיר של הנאשם</w:t>
      </w:r>
      <w:r>
        <w:rPr>
          <w:rtl w:val="true"/>
        </w:rPr>
        <w:t xml:space="preserve">, </w:t>
      </w:r>
      <w:r>
        <w:rPr>
          <w:rtl w:val="true"/>
        </w:rPr>
        <w:t>משפחתו הנורמטיבית ושיתוף הפעולה עם שירות המבחן מלמדים על סיכויים ממשיים לשיקומו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הוראת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מורה כך</w:t>
      </w:r>
      <w:r>
        <w:rPr>
          <w:rtl w:val="true"/>
        </w:rPr>
        <w:t>: "</w:t>
      </w:r>
      <w:r>
        <w:rPr>
          <w:b/>
          <w:b/>
          <w:bCs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 הוא לחרוג ממתחם העונש ההולם ולקבוע את עונשו של הנאשם לפי שיקולי 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להורות על נקיטת אמצעי שיקומי כלפי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לרבות העמדתו במבחן לפי סעיפים </w:t>
      </w:r>
      <w:r>
        <w:rPr>
          <w:b/>
          <w:bCs/>
        </w:rPr>
        <w:t>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86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או לפי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המבחן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התשכ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-</w:t>
      </w:r>
      <w:r>
        <w:rPr>
          <w:b/>
          <w:bCs/>
        </w:rPr>
        <w:t>1969</w:t>
      </w:r>
      <w:r>
        <w:rPr>
          <w:rtl w:val="true"/>
        </w:rPr>
        <w:t>."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התשובה לשאלה אילו מן המקרים ייחשבו  מקרי שיקום כמשמעותו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 ואילו לאו מורכבת ותלויה במספר פרמטרים וביניהם</w:t>
      </w:r>
      <w:r>
        <w:rPr>
          <w:rtl w:val="true"/>
        </w:rPr>
        <w:t xml:space="preserve">, </w:t>
      </w:r>
      <w:r>
        <w:rPr>
          <w:rtl w:val="true"/>
        </w:rPr>
        <w:t>נסיבות הנאשם</w:t>
      </w:r>
      <w:r>
        <w:rPr>
          <w:rtl w:val="true"/>
        </w:rPr>
        <w:t xml:space="preserve">, </w:t>
      </w:r>
      <w:r>
        <w:rPr>
          <w:rtl w:val="true"/>
        </w:rPr>
        <w:t>טיבו של הליך השיקום והסיכון להישנות עבירות</w:t>
      </w:r>
      <w:r>
        <w:rPr>
          <w:rtl w:val="true"/>
        </w:rPr>
        <w:t xml:space="preserve">. </w:t>
      </w:r>
      <w:r>
        <w:rPr>
          <w:rtl w:val="true"/>
        </w:rPr>
        <w:t>עוד יש להידרש לטיב המעשים בהם הורשע הנאשם</w:t>
      </w:r>
      <w:r>
        <w:rPr>
          <w:rtl w:val="true"/>
        </w:rPr>
        <w:t xml:space="preserve">, </w:t>
      </w:r>
      <w:r>
        <w:rPr>
          <w:rtl w:val="true"/>
        </w:rPr>
        <w:t>כשהכלל הוא 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ככל שהעבירה ונסיבותיה חמורות יותר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גובר הנטל על הטוען להקלה בשל שיקולי שיקום</w:t>
      </w:r>
      <w:r>
        <w:rPr>
          <w:b/>
          <w:bCs/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5936/13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14.1.2015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בנאשם נטול עבר פלילי</w:t>
      </w:r>
      <w:r>
        <w:rPr>
          <w:rtl w:val="true"/>
        </w:rPr>
        <w:t xml:space="preserve">, </w:t>
      </w:r>
      <w:r>
        <w:rPr>
          <w:rtl w:val="true"/>
        </w:rPr>
        <w:t>בן למשפחה טובה</w:t>
      </w:r>
      <w:r>
        <w:rPr>
          <w:rtl w:val="true"/>
        </w:rPr>
        <w:t xml:space="preserve">, </w:t>
      </w:r>
      <w:r>
        <w:rPr>
          <w:rtl w:val="true"/>
        </w:rPr>
        <w:t>שברגיל ניהל אורח חיים תקין</w:t>
      </w:r>
      <w:r>
        <w:rPr>
          <w:rtl w:val="true"/>
        </w:rPr>
        <w:t xml:space="preserve">, </w:t>
      </w:r>
      <w:r>
        <w:rPr>
          <w:rtl w:val="true"/>
        </w:rPr>
        <w:t>סטודנט שנה שלישית להנדסה באוניברסיטת אריאל</w:t>
      </w:r>
      <w:r>
        <w:rPr>
          <w:rtl w:val="true"/>
        </w:rPr>
        <w:t xml:space="preserve">. </w:t>
      </w:r>
      <w:r>
        <w:rPr>
          <w:rtl w:val="true"/>
        </w:rPr>
        <w:t>נתוניו של הנאשם</w:t>
      </w:r>
      <w:r>
        <w:rPr>
          <w:rtl w:val="true"/>
        </w:rPr>
        <w:t xml:space="preserve">- </w:t>
      </w:r>
      <w:r>
        <w:rPr>
          <w:rtl w:val="true"/>
        </w:rPr>
        <w:t xml:space="preserve">והדברים נאמרים בצער רב </w:t>
      </w:r>
      <w:r>
        <w:rPr>
          <w:rtl w:val="true"/>
        </w:rPr>
        <w:t>-</w:t>
      </w:r>
      <w:r>
        <w:rPr>
          <w:rtl w:val="true"/>
        </w:rPr>
        <w:t>אינם שונים מנתוניהם של עברייני הנשק של השנים האחרונות</w:t>
      </w:r>
      <w:r>
        <w:rPr>
          <w:rtl w:val="true"/>
        </w:rPr>
        <w:t xml:space="preserve">, </w:t>
      </w:r>
      <w:r>
        <w:rPr>
          <w:rtl w:val="true"/>
        </w:rPr>
        <w:t>רובם צעירים</w:t>
      </w:r>
      <w:r>
        <w:rPr>
          <w:rtl w:val="true"/>
        </w:rPr>
        <w:t xml:space="preserve">, </w:t>
      </w:r>
      <w:r>
        <w:rPr>
          <w:rtl w:val="true"/>
        </w:rPr>
        <w:t>בנים למשפחות נורמטיביות</w:t>
      </w:r>
      <w:r>
        <w:rPr>
          <w:rtl w:val="true"/>
        </w:rPr>
        <w:t xml:space="preserve">, </w:t>
      </w:r>
      <w:r>
        <w:rPr>
          <w:rtl w:val="true"/>
        </w:rPr>
        <w:t>שמבצעים את העבירות שלא על רקע מצוקה כלכלית או חשש לחייהם</w:t>
      </w:r>
      <w:r>
        <w:rPr>
          <w:rtl w:val="true"/>
        </w:rPr>
        <w:t xml:space="preserve">. </w:t>
      </w:r>
      <w:r>
        <w:rPr>
          <w:rtl w:val="true"/>
        </w:rPr>
        <w:t>בתסקירו העריך שירות המבחן שהנאשם</w:t>
      </w:r>
      <w:r>
        <w:rPr>
          <w:rtl w:val="true"/>
        </w:rPr>
        <w:t xml:space="preserve">, </w:t>
      </w:r>
      <w:r>
        <w:rPr>
          <w:rtl w:val="true"/>
        </w:rPr>
        <w:t>כמו רבים אחרים שכמותו ביצע את העבירה על רקע צורך בגבריות וקיום קשרים חברתיים בעיתיים</w:t>
      </w:r>
      <w:r>
        <w:rPr>
          <w:rtl w:val="true"/>
        </w:rPr>
        <w:t xml:space="preserve">. </w:t>
      </w:r>
      <w:r>
        <w:rPr>
          <w:rtl w:val="true"/>
        </w:rPr>
        <w:t>הנשק הפך סמל סטטוס</w:t>
      </w:r>
      <w:r>
        <w:rPr>
          <w:rtl w:val="true"/>
        </w:rPr>
        <w:t xml:space="preserve">, </w:t>
      </w:r>
      <w:r>
        <w:rPr>
          <w:rtl w:val="true"/>
        </w:rPr>
        <w:t>החזקתו לנורמה שהשתרשה במגזר וסוחפת אחריה גם את הטובים שבבנים</w:t>
      </w:r>
      <w:r>
        <w:rPr>
          <w:rtl w:val="true"/>
        </w:rPr>
        <w:t xml:space="preserve">. </w:t>
      </w:r>
      <w:r>
        <w:rPr>
          <w:rtl w:val="true"/>
        </w:rPr>
        <w:t>ביצוע המעשים על רקע נורמה פסולה ומסוכנת שרווחה בסביבת הנאשם אינה הופכת את התנהלותו לנורמטיבית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תסקירו של הנאשם חיובי</w:t>
      </w:r>
      <w:r>
        <w:rPr>
          <w:rtl w:val="true"/>
        </w:rPr>
        <w:t xml:space="preserve">. </w:t>
      </w:r>
      <w:r>
        <w:rPr>
          <w:rtl w:val="true"/>
        </w:rPr>
        <w:t>מאז ביצוע העבירה</w:t>
      </w:r>
      <w:r>
        <w:rPr>
          <w:rtl w:val="true"/>
        </w:rPr>
        <w:t xml:space="preserve">, </w:t>
      </w:r>
      <w:r>
        <w:rPr>
          <w:rtl w:val="true"/>
        </w:rPr>
        <w:t>לפני כשנתיים וחצי</w:t>
      </w:r>
      <w:r>
        <w:rPr>
          <w:rtl w:val="true"/>
        </w:rPr>
        <w:t xml:space="preserve">, </w:t>
      </w:r>
      <w:r>
        <w:rPr>
          <w:rtl w:val="true"/>
        </w:rPr>
        <w:t>עשה כברת דרך מרשימה המלמדת על סיכוי של ממש לחזרה למוטב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מדובר במקרה שיקום מובהק</w:t>
      </w:r>
      <w:r>
        <w:rPr>
          <w:rtl w:val="true"/>
        </w:rPr>
        <w:t xml:space="preserve">, </w:t>
      </w:r>
      <w:r>
        <w:rPr>
          <w:rtl w:val="true"/>
        </w:rPr>
        <w:t>הנאשם לא שולב בהליך טיפולי ארוך טווח ולא הציג הסבר לפשר החזקת הנשק</w:t>
      </w:r>
      <w:r>
        <w:rPr>
          <w:rtl w:val="true"/>
        </w:rPr>
        <w:t xml:space="preserve">. </w:t>
      </w:r>
      <w:r>
        <w:rPr>
          <w:rtl w:val="true"/>
        </w:rPr>
        <w:t>ענישה שיקומית בעבירות חמורות</w:t>
      </w:r>
      <w:r>
        <w:rPr>
          <w:rtl w:val="true"/>
        </w:rPr>
        <w:t xml:space="preserve">, </w:t>
      </w:r>
      <w:r>
        <w:rPr>
          <w:rtl w:val="true"/>
        </w:rPr>
        <w:t>כל שכן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אפשרית אך רק במקרים חריגים שבחריגים ובנסיבות מיוחדות ויוצאות דופן </w:t>
      </w:r>
      <w:r>
        <w:rPr>
          <w:rtl w:val="true"/>
        </w:rPr>
        <w:t>(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5807/20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מוחמד שיבלי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30.12.20</w:t>
      </w:r>
      <w:r>
        <w:rPr>
          <w:rFonts w:cs="Times New Roman" w:ascii="Times New Roman" w:hAnsi="Times New Roman"/>
          <w:rtl w:val="true"/>
        </w:rPr>
        <w:t>)),</w:t>
      </w:r>
      <w:r>
        <w:rPr>
          <w:rtl w:val="true"/>
        </w:rPr>
        <w:t xml:space="preserve"> </w:t>
      </w:r>
      <w:r>
        <w:rPr>
          <w:rtl w:val="true"/>
        </w:rPr>
        <w:t>המקרה שלפנינו אינו נמנה בין אלו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בהתחשב במאמציו של הנאשם לחזור לדרך הישר</w:t>
      </w:r>
      <w:r>
        <w:rPr>
          <w:rtl w:val="true"/>
        </w:rPr>
        <w:t xml:space="preserve">, </w:t>
      </w:r>
      <w:r>
        <w:rPr>
          <w:rtl w:val="true"/>
        </w:rPr>
        <w:t>התנהגות חיובית וסיכויי השיקום המובאים בתסקירי שירות המבחן אני סבורה שיש מקום להקלה מסויימת עמו תוך חריגה קלה מהרף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עוד ניכר כי שליחתו של הנאשם</w:t>
      </w:r>
      <w:r>
        <w:rPr>
          <w:rtl w:val="true"/>
        </w:rPr>
        <w:t xml:space="preserve">, </w:t>
      </w:r>
      <w:r>
        <w:rPr>
          <w:rtl w:val="true"/>
        </w:rPr>
        <w:t>שהצליח לסיים את לימודיו בהצלחה תוך כדי ניהול תיקו</w:t>
      </w:r>
      <w:r>
        <w:rPr>
          <w:rtl w:val="true"/>
        </w:rPr>
        <w:t xml:space="preserve">, </w:t>
      </w:r>
      <w:r>
        <w:rPr>
          <w:rtl w:val="true"/>
        </w:rPr>
        <w:t>למאסר ממושך</w:t>
      </w:r>
      <w:r>
        <w:rPr>
          <w:rtl w:val="true"/>
        </w:rPr>
        <w:t xml:space="preserve">, </w:t>
      </w:r>
      <w:r>
        <w:rPr>
          <w:rtl w:val="true"/>
        </w:rPr>
        <w:t xml:space="preserve">תפגע פגיעה קשה בעתידו ובהליך שיקומו </w:t>
      </w:r>
      <w:r>
        <w:rPr>
          <w:rtl w:val="true"/>
        </w:rPr>
        <w:t>(</w:t>
      </w:r>
      <w:r>
        <w:rPr>
          <w:rtl w:val="true"/>
        </w:rPr>
        <w:t>ראו לעניין זה</w:t>
      </w:r>
      <w:r>
        <w:rPr>
          <w:rtl w:val="true"/>
        </w:rPr>
        <w:t xml:space="preserve">,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עאמר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29.11.2018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סיכומם של 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בחינה זהירה של כלל השיקולים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מתן משקל בכורה לשיקולי ההרתעה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לגזור על הנאשם ענישת מאסר החורגת חריגה קלה מהרף התחתון של המתחם</w:t>
      </w:r>
      <w:r>
        <w:rPr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Fonts w:ascii="Times New Roman" w:hAnsi="Times New Roman" w:cs="Times New Roman"/>
          <w:rtl w:val="true"/>
        </w:rPr>
        <w:t>באשר לגובה הקנס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המאשימה עתר להטלת קנס מכביד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עמדתו מקובלת עליי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בשים לב לעלותם הגבוהה של כלי הנשק ופוטנציאל הסחר בהם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אתחשב במצבו הכלכלי של 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אני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>
          <w:rFonts w:cs="Times New Roman" w:ascii="Times New Roman" w:hAnsi="Times New Roman"/>
        </w:rPr>
        <w:t>27.4.20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</w:t>
      </w:r>
      <w:r>
        <w:rPr>
          <w:rFonts w:cs="Times New Roman" w:ascii="Times New Roman" w:hAnsi="Times New Roman"/>
        </w:rPr>
        <w:t>1.6.20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8000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בארבעה תשלומים החל מיום </w:t>
      </w:r>
      <w:r>
        <w:rPr/>
        <w:t>11.1.23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9.4.23</w:t>
      </w:r>
      <w:r>
        <w:rPr>
          <w:rtl w:val="true"/>
        </w:rPr>
        <w:t xml:space="preserve"> </w:t>
      </w:r>
      <w:r>
        <w:rPr>
          <w:rtl w:val="true"/>
        </w:rPr>
        <w:t xml:space="preserve">עד 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מעצר הדרים</w:t>
      </w:r>
      <w:r>
        <w:rPr>
          <w:rtl w:val="true"/>
        </w:rPr>
        <w:t xml:space="preserve">. </w:t>
      </w:r>
      <w:r>
        <w:rPr>
          <w:rtl w:val="true"/>
        </w:rPr>
        <w:t>לצורך הבטחת התייצבותו למאסר תעמודנה הערבויות הכספיות מהליך המעצר הנלווה וצו עיכוב יציאה מהארץ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cs="David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10686-05-20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פתאח עאזם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1553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6986954" TargetMode="External"/><Relationship Id="rId11" Type="http://schemas.openxmlformats.org/officeDocument/2006/relationships/hyperlink" Target="http://www.nevo.co.il/case/28268880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27894608" TargetMode="External"/><Relationship Id="rId14" Type="http://schemas.openxmlformats.org/officeDocument/2006/relationships/hyperlink" Target="http://www.nevo.co.il/case/27911638" TargetMode="External"/><Relationship Id="rId15" Type="http://schemas.openxmlformats.org/officeDocument/2006/relationships/hyperlink" Target="http://www.nevo.co.il/case/28152132" TargetMode="External"/><Relationship Id="rId16" Type="http://schemas.openxmlformats.org/officeDocument/2006/relationships/hyperlink" Target="http://www.nevo.co.il/case/28452933" TargetMode="External"/><Relationship Id="rId17" Type="http://schemas.openxmlformats.org/officeDocument/2006/relationships/hyperlink" Target="http://www.nevo.co.il/case/27305799" TargetMode="External"/><Relationship Id="rId18" Type="http://schemas.openxmlformats.org/officeDocument/2006/relationships/hyperlink" Target="http://www.nevo.co.il/case/27499246" TargetMode="External"/><Relationship Id="rId19" Type="http://schemas.openxmlformats.org/officeDocument/2006/relationships/hyperlink" Target="http://www.nevo.co.il/case/28243273" TargetMode="External"/><Relationship Id="rId20" Type="http://schemas.openxmlformats.org/officeDocument/2006/relationships/hyperlink" Target="http://www.nevo.co.il/case/27911655" TargetMode="External"/><Relationship Id="rId21" Type="http://schemas.openxmlformats.org/officeDocument/2006/relationships/hyperlink" Target="http://www.nevo.co.il/case/27494821" TargetMode="External"/><Relationship Id="rId22" Type="http://schemas.openxmlformats.org/officeDocument/2006/relationships/hyperlink" Target="http://www.nevo.co.il/case/28380863" TargetMode="External"/><Relationship Id="rId23" Type="http://schemas.openxmlformats.org/officeDocument/2006/relationships/hyperlink" Target="http://www.nevo.co.il/case/24140726" TargetMode="External"/><Relationship Id="rId24" Type="http://schemas.openxmlformats.org/officeDocument/2006/relationships/hyperlink" Target="http://www.nevo.co.il/case/24319926" TargetMode="External"/><Relationship Id="rId25" Type="http://schemas.openxmlformats.org/officeDocument/2006/relationships/hyperlink" Target="http://www.nevo.co.il/case/28384637" TargetMode="External"/><Relationship Id="rId26" Type="http://schemas.openxmlformats.org/officeDocument/2006/relationships/hyperlink" Target="http://www.nevo.co.il/case/21472788" TargetMode="External"/><Relationship Id="rId27" Type="http://schemas.openxmlformats.org/officeDocument/2006/relationships/hyperlink" Target="http://www.nevo.co.il/law/70301/40d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d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1553" TargetMode="External"/><Relationship Id="rId32" Type="http://schemas.openxmlformats.org/officeDocument/2006/relationships/hyperlink" Target="http://www.nevo.co.il/law/70301/40d" TargetMode="External"/><Relationship Id="rId33" Type="http://schemas.openxmlformats.org/officeDocument/2006/relationships/hyperlink" Target="http://www.nevo.co.il/case/10442671" TargetMode="External"/><Relationship Id="rId34" Type="http://schemas.openxmlformats.org/officeDocument/2006/relationships/hyperlink" Target="http://www.nevo.co.il/case/26934681" TargetMode="External"/><Relationship Id="rId35" Type="http://schemas.openxmlformats.org/officeDocument/2006/relationships/hyperlink" Target="http://www.nevo.co.il/case/24269595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2023-09-28T10:24:00Z</dcterms:created>
  <dc:creator> </dc:creator>
  <dc:description/>
  <cp:keywords/>
  <dc:language>en-IL</dc:language>
  <cp:lastModifiedBy>h1</cp:lastModifiedBy>
  <dcterms:modified xsi:type="dcterms:W3CDTF">2023-09-28T10:24:00Z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 פתאח עאזם;מוחמד מצארוה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25824863;26986954;28268880;28513828;27894608;27911638;28152132;28452933;27305799;27499246;28243273;27911655;27494821;28380863;24140726;24319926;28384637;21472788;10442671;26934681;24269595</vt:lpwstr>
  </property>
  <property fmtid="{D5CDD505-2E9C-101B-9397-08002B2CF9AE}" pid="9" name="CITY">
    <vt:lpwstr>מרכז</vt:lpwstr>
  </property>
  <property fmtid="{D5CDD505-2E9C-101B-9397-08002B2CF9AE}" pid="10" name="DATE">
    <vt:lpwstr>20221114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70301/144.b;040d.a:2;040d</vt:lpwstr>
  </property>
  <property fmtid="{D5CDD505-2E9C-101B-9397-08002B2CF9AE}" pid="15" name="LAWLISTTMP2">
    <vt:lpwstr>71553</vt:lpwstr>
  </property>
  <property fmtid="{D5CDD505-2E9C-101B-9397-08002B2CF9AE}" pid="16" name="LAWYER">
    <vt:lpwstr>אורי רינצקי;איהאב ג'לג'ולי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10686</vt:lpwstr>
  </property>
  <property fmtid="{D5CDD505-2E9C-101B-9397-08002B2CF9AE}" pid="23" name="NEWPARTB">
    <vt:lpwstr>05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390020221114</vt:lpwstr>
  </property>
  <property fmtid="{D5CDD505-2E9C-101B-9397-08002B2CF9AE}" pid="35" name="TYPE_N_DATE">
    <vt:lpwstr>39020221114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