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1751"/>
        <w:gridCol w:w="239"/>
        <w:gridCol w:w="854"/>
        <w:gridCol w:w="2995"/>
        <w:gridCol w:w="83"/>
      </w:tblGrid>
      <w:tr>
        <w:trPr>
          <w:trHeight w:val="719" w:hRule="exact"/>
        </w:trPr>
        <w:tc>
          <w:tcPr>
            <w:tcW w:w="5724" w:type="dxa"/>
            <w:gridSpan w:val="4"/>
            <w:tcBorders/>
          </w:tcPr>
          <w:p>
            <w:pPr>
              <w:pStyle w:val="Header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  <w:tc>
          <w:tcPr>
            <w:tcW w:w="3078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63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10690-02-10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אסדי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54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דצמבר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  <w:tc>
          <w:tcPr>
            <w:tcW w:w="3078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719" w:type="dxa"/>
            <w:gridSpan w:val="5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זיאד סלאח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  <w:tc>
          <w:tcPr>
            <w:tcW w:w="8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5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6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5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ארקאן אסדי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קאסם אסדי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סולומון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הנאשמים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נוכחים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הסניגור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אסדי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4" w:name="LawTable"/>
      <w:bookmarkStart w:id="5" w:name="LawTable"/>
      <w:bookmarkEnd w:id="5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6" w:name="LawTable_End"/>
      <w:bookmarkStart w:id="7" w:name="LawTable_End"/>
      <w:bookmarkEnd w:id="7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bookmarkStart w:id="11" w:name="ABSTRACT_START"/>
      <w:bookmarkEnd w:id="11"/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שני אחים למשפחת אסדי</w:t>
      </w:r>
      <w:r>
        <w:rPr>
          <w:rtl w:val="true"/>
        </w:rPr>
        <w:t xml:space="preserve">, </w:t>
      </w:r>
      <w:r>
        <w:rPr>
          <w:rtl w:val="true"/>
        </w:rPr>
        <w:t>הורשעו עפ</w:t>
      </w:r>
      <w:r>
        <w:rPr>
          <w:rtl w:val="true"/>
        </w:rPr>
        <w:t>"</w:t>
      </w:r>
      <w:r>
        <w:rPr>
          <w:rtl w:val="true"/>
        </w:rPr>
        <w:t>י הודאתם בעבירות כדלקמן</w:t>
      </w:r>
      <w:r>
        <w:rPr>
          <w:rtl w:val="true"/>
        </w:rPr>
        <w:t xml:space="preserve">: </w:t>
      </w:r>
      <w:r>
        <w:rPr>
          <w:rtl w:val="true"/>
        </w:rPr>
        <w:t>החזקת חלק או אבזר או תחמושת של נשק</w:t>
      </w:r>
      <w:r>
        <w:rPr>
          <w:rtl w:val="true"/>
        </w:rPr>
        <w:t xml:space="preserve">, </w:t>
      </w:r>
      <w:r>
        <w:rPr>
          <w:rtl w:val="true"/>
        </w:rPr>
        <w:t>גניבה והחזקת נכס החשוד כגנוב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בנוסף 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 בעבירה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בניגוד לסעיף </w:t>
      </w:r>
      <w:hyperlink r:id="rId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ריישא ל</w:t>
      </w:r>
      <w:hyperlink r:id="rId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תמצית העובדות אשר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בעניין החזקת נשק או אבזר של נשק או תחמושת היא כי ביום </w:t>
      </w:r>
      <w:r>
        <w:rPr/>
        <w:t>24/1/10</w:t>
      </w:r>
      <w:r>
        <w:rPr>
          <w:rtl w:val="true"/>
        </w:rPr>
        <w:t xml:space="preserve">, </w:t>
      </w:r>
      <w:r>
        <w:rPr>
          <w:rtl w:val="true"/>
        </w:rPr>
        <w:t>עת ערכה משטרת ישראל חיפוש בביתם של הנאשמים בכפר דיר אל אסד</w:t>
      </w:r>
      <w:r>
        <w:rPr>
          <w:rtl w:val="true"/>
        </w:rPr>
        <w:t xml:space="preserve">, </w:t>
      </w:r>
      <w:r>
        <w:rPr>
          <w:rtl w:val="true"/>
        </w:rPr>
        <w:t>היא מצאה כמויות של קליעים</w:t>
      </w:r>
      <w:r>
        <w:rPr>
          <w:rtl w:val="true"/>
        </w:rPr>
        <w:t xml:space="preserve">, </w:t>
      </w:r>
      <w:r>
        <w:rPr>
          <w:rtl w:val="true"/>
        </w:rPr>
        <w:t>מאות במספר</w:t>
      </w:r>
      <w:r>
        <w:rPr>
          <w:rtl w:val="true"/>
        </w:rPr>
        <w:t xml:space="preserve">, </w:t>
      </w:r>
      <w:r>
        <w:rPr>
          <w:rtl w:val="true"/>
        </w:rPr>
        <w:t>בנוסף נמצא כי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 רימון עשן צהלי מעוקב וכן בנוסף החזיק ארגז מתכת צהלי ושחפ</w:t>
      </w:r>
      <w:r>
        <w:rPr>
          <w:rtl w:val="true"/>
        </w:rPr>
        <w:t>"</w:t>
      </w:r>
      <w:r>
        <w:rPr>
          <w:rtl w:val="true"/>
        </w:rPr>
        <w:t>צ צהלי</w:t>
      </w:r>
      <w:r>
        <w:rPr>
          <w:rtl w:val="true"/>
        </w:rPr>
        <w:t xml:space="preserve">, </w:t>
      </w:r>
      <w:r>
        <w:rPr>
          <w:rtl w:val="true"/>
        </w:rPr>
        <w:t>אותם גנב לפני כן מרשויות הצבא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בנוסף 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נמצא מחזיק בחדרו גם מספר לא קטן של כדורים וקליעים וכן שתי פצצות תאורה ידניות וכן גם חצי לבנת חבלה וכן גם סוללה עטופה באיזולירבנד וחוטי ברזל היוצאים ממנה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כן על גג ביתו של 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נמצאו שני פנסים צהליים</w:t>
      </w:r>
      <w:r>
        <w:rPr>
          <w:rtl w:val="true"/>
        </w:rPr>
        <w:t xml:space="preserve">, </w:t>
      </w:r>
      <w:r>
        <w:rPr>
          <w:rtl w:val="true"/>
        </w:rPr>
        <w:t>כאשר כל הרכוש הצבאי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לרבות התחמושת</w:t>
      </w:r>
      <w:r>
        <w:rPr>
          <w:rtl w:val="true"/>
        </w:rPr>
        <w:t xml:space="preserve">,  </w:t>
      </w:r>
      <w:r>
        <w:rPr>
          <w:rtl w:val="true"/>
        </w:rPr>
        <w:t>נגנבו על ידי 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מרשויות הצבא במועד קודם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כן בנוסף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 בעבירה נוספת של איום</w:t>
      </w:r>
      <w:r>
        <w:rPr>
          <w:rtl w:val="true"/>
        </w:rPr>
        <w:t xml:space="preserve">, </w:t>
      </w:r>
      <w:r>
        <w:rPr>
          <w:rtl w:val="true"/>
        </w:rPr>
        <w:t xml:space="preserve">בכך שביום </w:t>
      </w:r>
      <w:r>
        <w:rPr/>
        <w:t>25/1/10</w:t>
      </w:r>
      <w:r>
        <w:rPr>
          <w:rtl w:val="true"/>
        </w:rPr>
        <w:t xml:space="preserve">, </w:t>
      </w:r>
      <w:r>
        <w:rPr>
          <w:rtl w:val="true"/>
        </w:rPr>
        <w:t>בעת דיון בביהמ</w:t>
      </w:r>
      <w:r>
        <w:rPr>
          <w:rtl w:val="true"/>
        </w:rPr>
        <w:t>"</w:t>
      </w:r>
      <w:r>
        <w:rPr>
          <w:rtl w:val="true"/>
        </w:rPr>
        <w:t>ש השלום בעכו</w:t>
      </w:r>
      <w:r>
        <w:rPr>
          <w:rtl w:val="true"/>
        </w:rPr>
        <w:t xml:space="preserve">, </w:t>
      </w:r>
      <w:r>
        <w:rPr>
          <w:rtl w:val="true"/>
        </w:rPr>
        <w:t>איים על השוטר אמיר אלזירט</w:t>
      </w:r>
      <w:r>
        <w:rPr>
          <w:rtl w:val="true"/>
        </w:rPr>
        <w:t xml:space="preserve">, </w:t>
      </w:r>
      <w:r>
        <w:rPr>
          <w:rtl w:val="true"/>
        </w:rPr>
        <w:t xml:space="preserve">בכך שאמר לו </w:t>
      </w:r>
      <w:r>
        <w:rPr>
          <w:rtl w:val="true"/>
        </w:rPr>
        <w:t>: "</w:t>
      </w:r>
      <w:r>
        <w:rPr>
          <w:rtl w:val="true"/>
        </w:rPr>
        <w:t>תירגע תירגע</w:t>
      </w:r>
      <w:r>
        <w:rPr>
          <w:rtl w:val="true"/>
        </w:rPr>
        <w:t xml:space="preserve">" </w:t>
      </w:r>
      <w:r>
        <w:rPr>
          <w:rtl w:val="true"/>
        </w:rPr>
        <w:t>ובהמשך עשה כלפיו תנועות מאיימות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הינה כי כן</w:t>
      </w:r>
      <w:r>
        <w:rPr>
          <w:rtl w:val="true"/>
        </w:rPr>
        <w:t xml:space="preserve">, </w:t>
      </w:r>
      <w:r>
        <w:rPr>
          <w:rtl w:val="true"/>
        </w:rPr>
        <w:t>למקרא כתב האישום</w:t>
      </w:r>
      <w:r>
        <w:rPr>
          <w:rtl w:val="true"/>
        </w:rPr>
        <w:t xml:space="preserve">, </w:t>
      </w:r>
      <w:r>
        <w:rPr>
          <w:rtl w:val="true"/>
        </w:rPr>
        <w:t>ניתן לקבל רושם ראשוני כי הנאשמים עברו עבירות חמורות של החזקת נשק ו</w:t>
      </w:r>
      <w:r>
        <w:rPr>
          <w:rtl w:val="true"/>
        </w:rPr>
        <w:t>/</w:t>
      </w:r>
      <w:r>
        <w:rPr>
          <w:rtl w:val="true"/>
        </w:rPr>
        <w:t>או אבזר של נשק ו</w:t>
      </w:r>
      <w:r>
        <w:rPr>
          <w:rtl w:val="true"/>
        </w:rPr>
        <w:t>/</w:t>
      </w:r>
      <w:r>
        <w:rPr>
          <w:rtl w:val="true"/>
        </w:rPr>
        <w:t>או תחמושת שלא כדין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פריטת העובדות לפרטיהן יש בה כדי להראות כי עיקר הנשק שהוחזק שלא כדין הינם כדורים</w:t>
      </w:r>
      <w:r>
        <w:rPr>
          <w:rtl w:val="true"/>
        </w:rPr>
        <w:t xml:space="preserve">, </w:t>
      </w:r>
      <w:r>
        <w:rPr>
          <w:rtl w:val="true"/>
        </w:rPr>
        <w:t>אשר היו פזורים בבית הנאשמים</w:t>
      </w:r>
      <w:r>
        <w:rPr>
          <w:rtl w:val="true"/>
        </w:rPr>
        <w:t xml:space="preserve">, </w:t>
      </w:r>
      <w:r>
        <w:rPr>
          <w:rtl w:val="true"/>
        </w:rPr>
        <w:t>כמעט בכל פינה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הינני מציין עובדה זו</w:t>
      </w:r>
      <w:r>
        <w:rPr>
          <w:rtl w:val="true"/>
        </w:rPr>
        <w:t xml:space="preserve">, </w:t>
      </w:r>
      <w:r>
        <w:rPr>
          <w:rtl w:val="true"/>
        </w:rPr>
        <w:t>היינו כי עיקר החזקת אביזרי הנשק הינם כדורים</w:t>
      </w:r>
      <w:r>
        <w:rPr>
          <w:rtl w:val="true"/>
        </w:rPr>
        <w:t xml:space="preserve">, </w:t>
      </w:r>
      <w:r>
        <w:rPr>
          <w:rtl w:val="true"/>
        </w:rPr>
        <w:t>לאור העובדה כי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בעת האירוע נשוא כתב האישום</w:t>
      </w:r>
      <w:r>
        <w:rPr>
          <w:rtl w:val="true"/>
        </w:rPr>
        <w:t xml:space="preserve">, </w:t>
      </w:r>
      <w:r>
        <w:rPr>
          <w:rtl w:val="true"/>
        </w:rPr>
        <w:t>היה חייל בשירות סדיר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כאשר גם 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שירת שירות סדיר בצה</w:t>
      </w:r>
      <w:r>
        <w:rPr>
          <w:rtl w:val="true"/>
        </w:rPr>
        <w:t>"</w:t>
      </w:r>
      <w:r>
        <w:rPr>
          <w:rtl w:val="true"/>
        </w:rPr>
        <w:t>ל ואף משרת במסגרת מערך המילואים בצה</w:t>
      </w:r>
      <w:r>
        <w:rPr>
          <w:rtl w:val="true"/>
        </w:rPr>
        <w:t>"</w:t>
      </w:r>
      <w:r>
        <w:rPr>
          <w:rtl w:val="true"/>
        </w:rPr>
        <w:t>ל כיום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בטרם טיעונים לעונש הוריתי על קבלת תסקיר שירות מבחן בעניינם של שני הנאשמים ואכן שירות המבחן הגיש תסקיר לגבי שני הנאשמים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הינני יושב על כס המשפט תקופה לא קצרה ולעיתים רחוקות הינני קורא תסקירי מבחן חיוביים</w:t>
      </w:r>
      <w:r>
        <w:rPr>
          <w:rtl w:val="true"/>
        </w:rPr>
        <w:t xml:space="preserve">, </w:t>
      </w:r>
      <w:r>
        <w:rPr>
          <w:rtl w:val="true"/>
        </w:rPr>
        <w:t>כפי שהוגשו בענייניהם של הנאשמים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עולה כי לשני הנאשמים אין כל עבר פלילי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 בן כ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אשר מצא לנכון להתנדב לשירות סדיר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אף שהינו פטור על רקע היותו בן העדה המוסלמית והוא ביצע את תפקידו במסגרת הצבא כדבעי והעבירות בוצעו על ידו עת היה בשירות סדיר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גם 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שירת שירות קרבי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בחטיבת גבעתי</w:t>
      </w:r>
      <w:r>
        <w:rPr>
          <w:rtl w:val="true"/>
        </w:rPr>
        <w:t xml:space="preserve">, </w:t>
      </w:r>
      <w:r>
        <w:rPr>
          <w:rtl w:val="true"/>
        </w:rPr>
        <w:t>שוחרר וכיום נמצא במערך המילואים של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שירות המבחן ציין כי התנדבותם של שני הנאשמים לשירות בצה</w:t>
      </w:r>
      <w:r>
        <w:rPr>
          <w:rtl w:val="true"/>
        </w:rPr>
        <w:t>"</w:t>
      </w:r>
      <w:r>
        <w:rPr>
          <w:rtl w:val="true"/>
        </w:rPr>
        <w:t>ל היתה לצנינים בעיני חלק לא מבוטל מבני כפרם</w:t>
      </w:r>
      <w:r>
        <w:rPr>
          <w:rtl w:val="true"/>
        </w:rPr>
        <w:t xml:space="preserve">, </w:t>
      </w:r>
      <w:r>
        <w:rPr>
          <w:rtl w:val="true"/>
        </w:rPr>
        <w:t>אשר שירותם בצה</w:t>
      </w:r>
      <w:r>
        <w:rPr>
          <w:rtl w:val="true"/>
        </w:rPr>
        <w:t>"</w:t>
      </w:r>
      <w:r>
        <w:rPr>
          <w:rtl w:val="true"/>
        </w:rPr>
        <w:t>ל לא מצא חן בעיניהם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שירות המבחן ציין כי שני הנאשמים מקבלים אחריות מלאה על מעשיהם</w:t>
      </w:r>
      <w:r>
        <w:rPr>
          <w:rtl w:val="true"/>
        </w:rPr>
        <w:t xml:space="preserve">, </w:t>
      </w:r>
      <w:r>
        <w:rPr>
          <w:rtl w:val="true"/>
        </w:rPr>
        <w:t>מכירים בעובדה שעשו טעות ועליהם לשלם את הדין בגין כך וכי כעת כל רצונם להילחם על שמם הטוב ועל המשך דרכם הנורמטיבית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שירות המבחן ציין לגבי שני הנאשמים שאין להם כל דפוסים עבריניים וכי רצונם להמשיך בחיים נורמטיביים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שירות המבחן</w:t>
      </w:r>
      <w:r>
        <w:rPr>
          <w:rtl w:val="true"/>
        </w:rPr>
        <w:t xml:space="preserve">, </w:t>
      </w:r>
      <w:r>
        <w:rPr>
          <w:rtl w:val="true"/>
        </w:rPr>
        <w:t>לאור האמור בתסקירו</w:t>
      </w:r>
      <w:r>
        <w:rPr>
          <w:rtl w:val="true"/>
        </w:rPr>
        <w:t xml:space="preserve">, </w:t>
      </w:r>
      <w:r>
        <w:rPr>
          <w:rtl w:val="true"/>
        </w:rPr>
        <w:t>מצא לנכון להמליץ לא למצות את הדין עם הנאשמים</w:t>
      </w:r>
      <w:r>
        <w:rPr>
          <w:rtl w:val="true"/>
        </w:rPr>
        <w:t xml:space="preserve">, </w:t>
      </w:r>
      <w:r>
        <w:rPr>
          <w:rtl w:val="true"/>
        </w:rPr>
        <w:t>ולהטיל עליהם עבודות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מאסר על תנאי וכן קנס וכן קבע כי משלוחם לריצוי מאסר בפועל יש בו כדי לפגוע בהם ללא תקנה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המדינה ציינה את חומרת העבירות בהן הורשעו הנאשמים</w:t>
      </w:r>
      <w:r>
        <w:rPr>
          <w:rtl w:val="true"/>
        </w:rPr>
        <w:t xml:space="preserve">, </w:t>
      </w:r>
      <w:r>
        <w:rPr>
          <w:rtl w:val="true"/>
        </w:rPr>
        <w:t>הגישה אסופת פסיקה עפי</w:t>
      </w:r>
      <w:r>
        <w:rPr>
          <w:rtl w:val="true"/>
        </w:rPr>
        <w:t>"</w:t>
      </w:r>
      <w:r>
        <w:rPr>
          <w:rtl w:val="true"/>
        </w:rPr>
        <w:t>ה עבריינים שחטאו בעבירות נשק נשלחו לריצוי מאסר בפועל מאחורי סורג ובריח וביקשה להטיל על הנאשמים עונש מאסר בפועל ממושך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, </w:t>
      </w:r>
      <w:r>
        <w:rPr>
          <w:rtl w:val="true"/>
        </w:rPr>
        <w:t>וזאת על מנת להרתיע אחרים מלבצע עבירות בהן הורשעו הנאשמים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הסניגור מנגד ציין את עברם הנקי של הנאשמים</w:t>
      </w:r>
      <w:r>
        <w:rPr>
          <w:rtl w:val="true"/>
        </w:rPr>
        <w:t xml:space="preserve">, </w:t>
      </w:r>
      <w:r>
        <w:rPr>
          <w:rtl w:val="true"/>
        </w:rPr>
        <w:t>את התנדבותם לשירות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אף כי היו פטורים מכך</w:t>
      </w:r>
      <w:r>
        <w:rPr>
          <w:rtl w:val="true"/>
        </w:rPr>
        <w:t xml:space="preserve">, </w:t>
      </w:r>
      <w:r>
        <w:rPr>
          <w:rtl w:val="true"/>
        </w:rPr>
        <w:t>את העובדה שהשירות בצבא הביא לשנאה מחלק מבני כפרם וכי ביצוע העבירות על ידם מקורו בעצם שירותם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כאשר הם לא הפנימו כי עליהם להבדיל בין נשק שניתן להחזיקו כדין לבין תחמושת על רקע שירותם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לבין נשק שאסור להם ליטול מצה</w:t>
      </w:r>
      <w:r>
        <w:rPr>
          <w:rtl w:val="true"/>
        </w:rPr>
        <w:t>"</w:t>
      </w:r>
      <w:r>
        <w:rPr>
          <w:rtl w:val="true"/>
        </w:rPr>
        <w:t>ל וכמובן אסור להם להחזיקו בביתם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גם הסניגור מנגד הגיש אסופת פסיקה</w:t>
      </w:r>
      <w:r>
        <w:rPr>
          <w:rtl w:val="true"/>
        </w:rPr>
        <w:t xml:space="preserve">, </w:t>
      </w:r>
      <w:r>
        <w:rPr>
          <w:rtl w:val="true"/>
        </w:rPr>
        <w:t>על פיה בתי משפט במקרים דומים לא מיצו את הדין עם נאשמים שחטאו בעבירות נשק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אכן עבירות של החזקת נשק שלא כדין הינן עבירות חמורות</w:t>
      </w:r>
      <w:r>
        <w:rPr>
          <w:rtl w:val="true"/>
        </w:rPr>
        <w:t xml:space="preserve">, </w:t>
      </w:r>
      <w:r>
        <w:rPr>
          <w:rtl w:val="true"/>
        </w:rPr>
        <w:t>שככלל מחייבות ענישה מרתיעה הכוללת בחובה גם אלמנט של עונש מאסר בפועל מאחורי סורג ובריח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יחד עם זאת הענישה במדינתנו הינה ענישה אינדיבידואלית ובכל מקרה על ביהמ</w:t>
      </w:r>
      <w:r>
        <w:rPr>
          <w:rtl w:val="true"/>
        </w:rPr>
        <w:t>"</w:t>
      </w:r>
      <w:r>
        <w:rPr>
          <w:rtl w:val="true"/>
        </w:rPr>
        <w:t>ש לשים לנגד עיניו את כל תכליות הענישה</w:t>
      </w:r>
      <w:r>
        <w:rPr>
          <w:rtl w:val="true"/>
        </w:rPr>
        <w:t xml:space="preserve">, </w:t>
      </w:r>
      <w:r>
        <w:rPr>
          <w:rtl w:val="true"/>
        </w:rPr>
        <w:t>לרבות התכלית ההרתעתית כמו גם השיקומית והתגמולים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אינני יכול להתעלם מכך כי אכן שני הנאשמים שירתו בצה</w:t>
      </w:r>
      <w:r>
        <w:rPr>
          <w:rtl w:val="true"/>
        </w:rPr>
        <w:t>"</w:t>
      </w:r>
      <w:r>
        <w:rPr>
          <w:rtl w:val="true"/>
        </w:rPr>
        <w:t>ל שירות סדיר וכי אין להם כל עבירות קודמות וכן כי עיקר אביזרי הנשק או התחמושת הינם כדורים או פצצות תאורה או רימן עשן מעוקב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יש להבדיל בין מקרים של החזקת נשק ממש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אקדחים או נשק אוטומטי</w:t>
      </w:r>
      <w:r>
        <w:rPr>
          <w:rtl w:val="true"/>
        </w:rPr>
        <w:t xml:space="preserve">, </w:t>
      </w:r>
      <w:r>
        <w:rPr>
          <w:rtl w:val="true"/>
        </w:rPr>
        <w:t>שיש בהם כדי לגרום לענישה מרתיעה לבין החזקת אביזרי נשק או תחמושת</w:t>
      </w:r>
      <w:r>
        <w:rPr>
          <w:rtl w:val="true"/>
        </w:rPr>
        <w:t xml:space="preserve">, </w:t>
      </w:r>
      <w:r>
        <w:rPr>
          <w:rtl w:val="true"/>
        </w:rPr>
        <w:t>שאין בהם סכנה מיידית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עברתי על אסופת הפסיקה שהוגשה על ידי ב</w:t>
      </w:r>
      <w:r>
        <w:rPr>
          <w:rtl w:val="true"/>
        </w:rPr>
        <w:t>"</w:t>
      </w:r>
      <w:r>
        <w:rPr>
          <w:rtl w:val="true"/>
        </w:rPr>
        <w:t>כ המאשימה ורובה ככולה מתייחסת לענישה בגין החזקת נשק של ממש וגם סחר בנשק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הפסיקה שהוגשה על ידי הסניגור דיברה על הטלת עונשים שרוצו בעבודות שירות וגם שם הענישה התייחסה להחזקת נשק של ממש</w:t>
      </w:r>
      <w:r>
        <w:rPr>
          <w:rtl w:val="true"/>
        </w:rPr>
        <w:t xml:space="preserve">, </w:t>
      </w:r>
      <w:r>
        <w:rPr>
          <w:rtl w:val="true"/>
        </w:rPr>
        <w:t>כגון אקדחים או נשקים אוטומטיים אחרים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הינני סבור כי בעניינם של הנאשמים יש לתת משקל לא מבוטל לאלמנט השיקומי ולבחרו על האלמנט ההרתעתי</w:t>
      </w:r>
      <w:r>
        <w:rPr>
          <w:rtl w:val="true"/>
        </w:rPr>
        <w:t xml:space="preserve">, </w:t>
      </w:r>
      <w:r>
        <w:rPr>
          <w:rtl w:val="true"/>
        </w:rPr>
        <w:t>זאת מבלי לפגוע בתכלית ההרתעתית שבדיני העונשין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כן אקח בחשבון את העובדה כי הנאשמים ריצו תקופת מעצר לא מבוטלת וכי בהמשך היו במעצר בית לתקופה לא קצרה</w:t>
      </w:r>
      <w:r>
        <w:rPr>
          <w:rtl w:val="true"/>
        </w:rPr>
        <w:t xml:space="preserve">, </w:t>
      </w:r>
      <w:r>
        <w:rPr>
          <w:rtl w:val="true"/>
        </w:rPr>
        <w:t>אשר הקשתה גם עליהם וגם על בני משפחתם וגרמה לפגיעה לא מבוטלת בתעסוקתם ובאפשרויות הפרנסה על ידם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בשכלול כל הנתונים</w:t>
      </w:r>
      <w:r>
        <w:rPr>
          <w:rtl w:val="true"/>
        </w:rPr>
        <w:t xml:space="preserve">, </w:t>
      </w:r>
      <w:r>
        <w:rPr>
          <w:rtl w:val="true"/>
        </w:rPr>
        <w:t>אני משית על הנאשמים את העונשים כדלקמן</w:t>
      </w:r>
      <w:r>
        <w:rPr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-</w:t>
        <w:tab/>
      </w:r>
      <w:r>
        <w:rPr>
          <w:rtl w:val="true"/>
        </w:rPr>
        <w:t>מאסר בפועל לתקופה של  חודש וחצי</w:t>
      </w:r>
      <w:r>
        <w:rPr>
          <w:rtl w:val="true"/>
        </w:rPr>
        <w:t xml:space="preserve">,  </w:t>
      </w:r>
      <w:r>
        <w:rPr>
          <w:rtl w:val="true"/>
        </w:rPr>
        <w:t xml:space="preserve">היא תקופת המעצר אותה ריצו הנאשמים בתקופה שמיום </w:t>
      </w:r>
      <w:r>
        <w:rPr/>
        <w:t>24/1/10</w:t>
      </w:r>
      <w:r>
        <w:rPr>
          <w:rtl w:val="true"/>
        </w:rPr>
        <w:t xml:space="preserve"> </w:t>
      </w:r>
      <w:r>
        <w:rPr>
          <w:rtl w:val="true"/>
        </w:rPr>
        <w:t xml:space="preserve">עד ליום </w:t>
      </w:r>
      <w:r>
        <w:rPr/>
        <w:t>9/3/10</w:t>
      </w:r>
      <w:r>
        <w:rPr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-</w:t>
        <w:tab/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תנאי לתקופה של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למשך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 מהיום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כי הנאשמים לא </w:t>
      </w:r>
      <w:r>
        <w:rPr>
          <w:rtl w:val="true"/>
        </w:rPr>
        <w:t>יעברו</w:t>
      </w:r>
      <w:r>
        <w:rPr>
          <w:rtl w:val="true"/>
        </w:rPr>
        <w:t xml:space="preserve"> בתקופה זאת </w:t>
      </w:r>
      <w:r>
        <w:rPr>
          <w:rtl w:val="true"/>
        </w:rPr>
        <w:t xml:space="preserve">באחת מהעבירות בהן הורשעו </w:t>
      </w:r>
      <w:r>
        <w:rPr>
          <w:rtl w:val="true"/>
        </w:rPr>
        <w:t xml:space="preserve"> בתיק זה</w:t>
      </w:r>
      <w:r>
        <w:rPr>
          <w:rtl w:val="true"/>
        </w:rPr>
        <w:t xml:space="preserve">, </w:t>
      </w:r>
      <w:r>
        <w:rPr>
          <w:rtl w:val="true"/>
        </w:rPr>
        <w:t>ויורשעו עליה בדין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-</w:t>
        <w:tab/>
      </w:r>
      <w:r>
        <w:rPr>
          <w:rtl w:val="true"/>
        </w:rPr>
        <w:t xml:space="preserve">אני מחייב כל אחד מהנאשמים לבצע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תוכנית שתוכן על ידי שירות המבחן</w:t>
      </w:r>
      <w:r>
        <w:rPr>
          <w:rtl w:val="true"/>
        </w:rPr>
        <w:t xml:space="preserve">, </w:t>
      </w:r>
      <w:r>
        <w:rPr>
          <w:rtl w:val="true"/>
        </w:rPr>
        <w:t>כאשר שירות המבחן יפקח ויוודא את ביצוע עבודות השל</w:t>
      </w:r>
      <w:r>
        <w:rPr>
          <w:rtl w:val="true"/>
        </w:rPr>
        <w:t>"</w:t>
      </w:r>
      <w:r>
        <w:rPr>
          <w:rtl w:val="true"/>
        </w:rPr>
        <w:t>צ על ידי הנאשמים ויגיש דו</w:t>
      </w:r>
      <w:r>
        <w:rPr>
          <w:rtl w:val="true"/>
        </w:rPr>
        <w:t>"</w:t>
      </w:r>
      <w:r>
        <w:rPr>
          <w:rtl w:val="true"/>
        </w:rPr>
        <w:t>ח מסכם עם תום ריצוי עבודות השל</w:t>
      </w:r>
      <w:r>
        <w:rPr>
          <w:rtl w:val="true"/>
        </w:rPr>
        <w:t>"</w:t>
      </w:r>
      <w:r>
        <w:rPr>
          <w:rtl w:val="true"/>
        </w:rPr>
        <w:t>צ על ידם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-</w:t>
        <w:tab/>
      </w:r>
      <w:r>
        <w:rPr>
          <w:rtl w:val="true"/>
        </w:rPr>
        <w:t>כן מטיל על 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קנס בסך של </w:t>
      </w:r>
      <w:r>
        <w:rPr/>
        <w:t>2,500</w:t>
      </w:r>
      <w:r>
        <w:rPr>
          <w:rtl w:val="true"/>
        </w:rPr>
        <w:t xml:space="preserve"> 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או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 מאסר תחתיו</w:t>
      </w:r>
      <w:r>
        <w:rPr>
          <w:rtl w:val="true"/>
        </w:rPr>
        <w:t xml:space="preserve">. </w:t>
      </w:r>
      <w:r>
        <w:rPr>
          <w:rtl w:val="true"/>
        </w:rPr>
        <w:t>הקנס ישולם על ידי הנאשם 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החל מיום </w:t>
      </w:r>
      <w:r>
        <w:rPr/>
        <w:t>10/1/11</w:t>
      </w:r>
      <w:r>
        <w:rPr>
          <w:rtl w:val="true"/>
        </w:rPr>
        <w:t xml:space="preserve"> </w:t>
      </w:r>
      <w:r>
        <w:rPr>
          <w:rtl w:val="true"/>
        </w:rPr>
        <w:t xml:space="preserve">ובכל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לחודש שלאחריו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בשולי גזר הדין לא אוכל שלא להתייחס לעניין המשך שירותו הצבאי של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בשירות סדיר 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הבנתי כי שירותו הסדיר של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הופסק ונדחה על ידי רשויות הצבא</w:t>
      </w:r>
      <w:r>
        <w:rPr>
          <w:rtl w:val="true"/>
        </w:rPr>
        <w:t xml:space="preserve">, </w:t>
      </w:r>
      <w:r>
        <w:rPr>
          <w:rtl w:val="true"/>
        </w:rPr>
        <w:t>זאת על מנת לראות את תוצאות ההליך הפלילי שננקט נגדו במסגרת תיק זה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לאור התרשמותי מהנאשם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כמו גם ממשפחתו</w:t>
      </w:r>
      <w:r>
        <w:rPr>
          <w:rtl w:val="true"/>
        </w:rPr>
        <w:t xml:space="preserve">, </w:t>
      </w:r>
      <w:r>
        <w:rPr>
          <w:rtl w:val="true"/>
        </w:rPr>
        <w:t>אשר ליוותה אותו לאורך כל הדיונים</w:t>
      </w:r>
      <w:r>
        <w:rPr>
          <w:rtl w:val="true"/>
        </w:rPr>
        <w:t xml:space="preserve">, </w:t>
      </w:r>
      <w:r>
        <w:rPr>
          <w:rtl w:val="true"/>
        </w:rPr>
        <w:t>כמו גם האמור בתסקיר שירות המבחן לגביו</w:t>
      </w:r>
      <w:r>
        <w:rPr>
          <w:rtl w:val="true"/>
        </w:rPr>
        <w:t xml:space="preserve">, </w:t>
      </w:r>
      <w:r>
        <w:rPr>
          <w:rtl w:val="true"/>
        </w:rPr>
        <w:t>כמו גם הכרתי לאוכלוסיה ולמגזר אשר עליו נמנה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אין לי אלא להמליץ בפני רשויות הצבא לאפשר המשך שירותו של 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תוך תקווה כי אכן ימלא שארית שירותו הסדיר נאמנה וללא כל תקלות</w:t>
      </w:r>
      <w:r>
        <w:rPr>
          <w:rtl w:val="true"/>
        </w:rPr>
        <w:t xml:space="preserve">, </w:t>
      </w:r>
      <w:r>
        <w:rPr>
          <w:rtl w:val="true"/>
        </w:rPr>
        <w:t>כאשר חרטתו כפי שהובעה בפניי הינה חרטה אמיתית ויש מקום לקבלה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בהחלט ניתן לראות במעידתו במסגרת תיק זה כמעידה חד פעמית</w:t>
      </w:r>
      <w:r>
        <w:rPr>
          <w:rtl w:val="true"/>
        </w:rPr>
        <w:t xml:space="preserve">, </w:t>
      </w:r>
      <w:r>
        <w:rPr>
          <w:rtl w:val="true"/>
        </w:rPr>
        <w:t>שלא תחזור על עצמה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מורה על השמדת  המוצגים</w:t>
      </w:r>
      <w:r>
        <w:rPr>
          <w:rtl w:val="true"/>
        </w:rPr>
        <w:t xml:space="preserve">, </w:t>
      </w:r>
      <w:r>
        <w:rPr>
          <w:rtl w:val="true"/>
        </w:rPr>
        <w:t>שעניינם נשקים או תחמושת או אביזרי נשק ו</w:t>
      </w:r>
      <w:r>
        <w:rPr>
          <w:rtl w:val="true"/>
        </w:rPr>
        <w:t>/</w:t>
      </w:r>
      <w:r>
        <w:rPr>
          <w:rtl w:val="true"/>
        </w:rPr>
        <w:t>או על החזרתם לרשויות הצבא</w:t>
      </w:r>
      <w:r>
        <w:rPr>
          <w:rtl w:val="true"/>
        </w:rPr>
        <w:t xml:space="preserve">, </w:t>
      </w:r>
      <w:r>
        <w:rPr>
          <w:rtl w:val="true"/>
        </w:rPr>
        <w:t>הכול לפי שיקול דעת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זיאד סלאח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ז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טבת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14/12/2010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זיאד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סלאח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למזכירות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יש לסרוק מוצגים שהוגשו במסגרת ישיבת היום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כן המזכירות תמציא העתק הפרוטוקול לשירות המבחן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 יכין תוכנית 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 לגבי הנאשמים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יגישנה לביהמ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 וכן יפקח ויוודא ביצועה על ידי שני הנאשמים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ליזה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אהרוני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/Users/liorb/Downloads/study2025-p2/SH-10-02-10690-17.doc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10690-02-10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ארקאן אסדי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2016-07-06T10:47:00Z</dcterms:created>
  <dc:creator> </dc:creator>
  <dc:description/>
  <cp:keywords/>
  <dc:language>en-IL</dc:language>
  <cp:lastModifiedBy>hofit</cp:lastModifiedBy>
  <dcterms:modified xsi:type="dcterms:W3CDTF">2016-07-06T10:47:00Z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ארקאן אסדי;קאסם אסדי</vt:lpwstr>
  </property>
  <property fmtid="{D5CDD505-2E9C-101B-9397-08002B2CF9AE}" pid="4" name="CITY">
    <vt:lpwstr>עכו</vt:lpwstr>
  </property>
  <property fmtid="{D5CDD505-2E9C-101B-9397-08002B2CF9AE}" pid="5" name="DATE">
    <vt:lpwstr>20101214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זיאד סלאח</vt:lpwstr>
  </property>
  <property fmtid="{D5CDD505-2E9C-101B-9397-08002B2CF9AE}" pid="9" name="LAWLISTTMP1">
    <vt:lpwstr>70301/144.a</vt:lpwstr>
  </property>
  <property fmtid="{D5CDD505-2E9C-101B-9397-08002B2CF9AE}" pid="10" name="LAWYER">
    <vt:lpwstr>סולומון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10690</vt:lpwstr>
  </property>
  <property fmtid="{D5CDD505-2E9C-101B-9397-08002B2CF9AE}" pid="24" name="NEWPARTB">
    <vt:lpwstr>02</vt:lpwstr>
  </property>
  <property fmtid="{D5CDD505-2E9C-101B-9397-08002B2CF9AE}" pid="25" name="NEWPARTC">
    <vt:lpwstr>10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RemarkFileName">
    <vt:lpwstr>shalom 04346e7544764f4a0300000094b92aa3 10 02 10690 htm</vt:lpwstr>
  </property>
  <property fmtid="{D5CDD505-2E9C-101B-9397-08002B2CF9AE}" pid="35" name="TYPE">
    <vt:lpwstr>3</vt:lpwstr>
  </property>
  <property fmtid="{D5CDD505-2E9C-101B-9397-08002B2CF9AE}" pid="36" name="TYPE_ABS_DATE">
    <vt:lpwstr>380020101214</vt:lpwstr>
  </property>
  <property fmtid="{D5CDD505-2E9C-101B-9397-08002B2CF9AE}" pid="37" name="TYPE_N_DATE">
    <vt:lpwstr>38020101214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