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בבית שמש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10816-02-15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מאיה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ויינשטיין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חנוך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דביר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דניאל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נצר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240" w:after="120"/>
        <w:ind w:end="0"/>
        <w:jc w:val="both"/>
        <w:rPr>
          <w:rFonts w:ascii="FrankRuehl" w:hAnsi="FrankRuehl" w:cs="FrankRuehl"/>
          <w:lang w:eastAsia="he-IL"/>
        </w:rPr>
      </w:pPr>
      <w:r>
        <w:rPr>
          <w:rFonts w:ascii="FrankRuehl" w:hAnsi="FrankRuehl" w:cs="FrankRuehl"/>
          <w:rtl w:val="true"/>
          <w:lang w:eastAsia="he-IL"/>
        </w:rPr>
        <w:t>חקיקה שאוזכרה</w:t>
      </w:r>
      <w:r>
        <w:rPr>
          <w:rFonts w:cs="FrankRuehl" w:ascii="FrankRuehl" w:hAnsi="FrankRuehl"/>
          <w:rtl w:val="true"/>
          <w:lang w:eastAsia="he-IL"/>
        </w:rPr>
        <w:t xml:space="preserve">: </w:t>
      </w:r>
    </w:p>
    <w:p>
      <w:pPr>
        <w:pStyle w:val="Normal"/>
        <w:spacing w:lineRule="exact" w:line="240" w:before="240" w:after="120"/>
        <w:ind w:end="0"/>
        <w:jc w:val="both"/>
        <w:rPr>
          <w:rFonts w:ascii="FrankRuehl" w:hAnsi="FrankRuehl" w:cs="FrankRuehl"/>
          <w:color w:val="0000FF"/>
          <w:lang w:eastAsia="he-I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color w:val="0000FF"/>
          <w:rtl w:val="true"/>
          <w:lang w:eastAsia="he-IL"/>
        </w:rPr>
        <w:t xml:space="preserve">: </w:t>
      </w:r>
      <w:r>
        <w:rPr>
          <w:rFonts w:ascii="FrankRuehl" w:hAnsi="FrankRuehl" w:cs="FrankRuehl"/>
          <w:color w:val="0000FF"/>
          <w:rtl w:val="true"/>
          <w:lang w:eastAsia="he-IL"/>
        </w:rPr>
        <w:t>סע</w:t>
      </w:r>
      <w:r>
        <w:rPr>
          <w:rFonts w:cs="FrankRuehl" w:ascii="FrankRuehl" w:hAnsi="FrankRuehl"/>
          <w:color w:val="0000FF"/>
          <w:rtl w:val="true"/>
          <w:lang w:eastAsia="he-IL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color w:val="0000FF"/>
          <w:rtl w:val="true"/>
          <w:lang w:eastAsia="he-IL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  <w:lang w:eastAsia="he-IL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240" w:after="120"/>
        <w:ind w:end="0"/>
        <w:jc w:val="both"/>
        <w:rPr>
          <w:rFonts w:ascii="FrankRuehl" w:hAnsi="FrankRuehl" w:cs="FrankRuehl"/>
          <w:color w:val="0000FF"/>
          <w:lang w:eastAsia="he-I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rtl w:val="true"/>
          <w:lang w:eastAsia="he-IL"/>
        </w:rPr>
        <w:t xml:space="preserve">: </w:t>
      </w:r>
      <w:r>
        <w:rPr>
          <w:rFonts w:ascii="FrankRuehl" w:hAnsi="FrankRuehl" w:cs="FrankRuehl"/>
          <w:color w:val="0000FF"/>
          <w:rtl w:val="true"/>
          <w:lang w:eastAsia="he-IL"/>
        </w:rPr>
        <w:t>סע</w:t>
      </w:r>
      <w:r>
        <w:rPr>
          <w:rFonts w:cs="FrankRuehl" w:ascii="FrankRuehl" w:hAnsi="FrankRuehl"/>
          <w:color w:val="0000FF"/>
          <w:rtl w:val="true"/>
          <w:lang w:eastAsia="he-IL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  <w:lang w:eastAsia="he-IL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  <w:lang w:eastAsia="he-IL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498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8"/>
          <w:szCs w:val="28"/>
          <w:lang w:eastAsia="he-IL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</w:t>
            </w:r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ללא הרשעה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bookmarkStart w:id="4" w:name="ABSTRACT_START"/>
      <w:bookmarkEnd w:id="4"/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</w:t>
      </w:r>
      <w:r>
        <w:rPr>
          <w:rFonts w:cs="David" w:ascii="David" w:hAnsi="David"/>
          <w:rtl w:val="true"/>
        </w:rPr>
        <w:t>]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פקודת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המסוכנים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04/05/11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שתילים של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bookmarkStart w:id="5" w:name="ABSTRACT_END"/>
      <w:bookmarkEnd w:id="5"/>
      <w:r>
        <w:rPr>
          <w:rFonts w:ascii="David" w:hAnsi="David"/>
          <w:b/>
          <w:b/>
          <w:bCs/>
          <w:rtl w:val="true"/>
        </w:rPr>
        <w:t>טיעוני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הצדדים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לעונש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אליבא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בגידול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שהשתילים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. </w:t>
        <w:tab/>
        <w:br/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נרחב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300-400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  <w:tab/>
        <w:br/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במעורבותם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נשכרים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להגדלת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מאז ביצוע העבירה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הלקח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לנוכח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ההסכמה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להרחבת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צ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המחלוקת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נותרה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בעיקרה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בשאלת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ההרשעה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תסקיר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המבחן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אברהם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גראס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אספקת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במשתלה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ומפגין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התעסוקתי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המטופלים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בשירות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לזעזוע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ברורים</w:t>
      </w:r>
      <w:r>
        <w:rPr>
          <w:rFonts w:cs="David" w:ascii="David" w:hAnsi="David"/>
          <w:rtl w:val="true"/>
        </w:rPr>
        <w:t xml:space="preserve">. </w:t>
        <w:tab/>
        <w:br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הומלץ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באפשרויות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התעסוקתיות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והלימודיות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לרגרסיה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דניאל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15/12/15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פתאומי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מזדמן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לגדלו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  <w:br/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ניקיון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מסמים</w:t>
      </w:r>
      <w:r>
        <w:rPr>
          <w:rFonts w:cs="David" w:ascii="David" w:hAnsi="David"/>
          <w:rtl w:val="true"/>
        </w:rPr>
        <w:t>.</w:t>
        <w:tab/>
        <w:br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והיחידה</w:t>
      </w:r>
      <w:r>
        <w:rPr>
          <w:rFonts w:ascii="David" w:hAnsi="David"/>
          <w:rtl w:val="true"/>
        </w:rPr>
        <w:t xml:space="preserve"> שביצע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אקדמאים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בהינתן </w:t>
      </w:r>
      <w:r>
        <w:rPr>
          <w:rFonts w:ascii="David" w:hAnsi="David"/>
          <w:rtl w:val="true"/>
        </w:rPr>
        <w:t>התייחסותו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הלקחים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שאלת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ההרשעה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הרשעתו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של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מי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שעבר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עבירה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פלילית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היא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חוליה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טבעית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הנובעת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מהוכחת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אשמתו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ו</w:t>
      </w:r>
      <w:r>
        <w:rPr>
          <w:rFonts w:ascii="David" w:hAnsi="David"/>
          <w:rtl w:val="true"/>
        </w:rPr>
        <w:t>מממשת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שוויוני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9893/06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31/12/07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2555/12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נחמיאס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09/01/14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color w:val="000000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1440" w:end="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בנסיבות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חריגות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ומיוחדות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כאשר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עלול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להיווצר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יחס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בלתי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סביר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בין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חשיבות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ההרשעה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לאינטרס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הציבורי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לבין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עוצמת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הפגיעה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הצפויה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לנאשם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באם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יורשע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ובהתחשב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במכלול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הנתונים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הרלבנטיים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לעניין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ניתן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לעשות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שימוש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בסמכות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אי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ההרשעה</w:t>
      </w:r>
      <w:r>
        <w:rPr>
          <w:rFonts w:cs="David" w:ascii="David" w:hAnsi="David"/>
          <w:color w:val="000000"/>
          <w:spacing w:val="10"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5102/03</w:t>
      </w:r>
      <w:r>
        <w:rPr>
          <w:rFonts w:cs="Times New Roman"/>
          <w:rtl w:val="true"/>
        </w:rPr>
        <w:t>‏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קליין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04/09/07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2083/96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תמר כתב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נב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337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342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שאשמתו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שוכנע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תניב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בבואו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האינדיבידואלית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מאידך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עניינו של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1127" w:end="42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האינדיבידואלי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המיוחדות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ולהשפעת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שיקומו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לקחת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בחשבון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אישיות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שונות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גיל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ונתונים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הקשורים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למצבו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והבריאותי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לבחון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השפעת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עיסוקו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המקצועי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הכלכלי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והמשפחתי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בסופו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ניצבת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עוצמתה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המיוחדות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האינדיבידואלי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היבטיו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השונים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גובר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השיקול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מערכתי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הכללי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סובלת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הנורמה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החברתית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הכללית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הרשעתו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בדין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9893/06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31/12/07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והעתידי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תעסוקתי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ובריאותי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.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ומיצויו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הרציונל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ההפצה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ייעודו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הגידול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מתיישבים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גרידא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בהשערה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240" w:after="240"/>
        <w:ind w:start="1440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rtl w:val="true"/>
        </w:rPr>
        <w:t>יכול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בהחלט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להיות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מצב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כי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הנאשם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היה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נתפס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חודשים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מספר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מאוחר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יותר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וכמות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הסם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הייתה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גדולה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יותר</w:t>
      </w:r>
      <w:r>
        <w:rPr>
          <w:rFonts w:cs="David" w:ascii="David" w:hAnsi="David"/>
          <w:b/>
          <w:bCs/>
          <w:i/>
          <w:iCs/>
          <w:rtl w:val="true"/>
        </w:rPr>
        <w:t xml:space="preserve">. </w:t>
      </w:r>
      <w:r>
        <w:rPr>
          <w:rFonts w:ascii="David" w:hAnsi="David"/>
          <w:b/>
          <w:b/>
          <w:bCs/>
          <w:i/>
          <w:i/>
          <w:iCs/>
          <w:rtl w:val="true"/>
        </w:rPr>
        <w:t>אולם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שאלה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זו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היא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היפותטית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ובית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המשפט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אינו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עוסק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בשאלות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מסוג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זה</w:t>
      </w:r>
      <w:r>
        <w:rPr>
          <w:rFonts w:cs="David" w:ascii="David" w:hAnsi="David"/>
          <w:rtl w:val="true"/>
        </w:rPr>
        <w:t>" 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30076-09-13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09/11/15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1440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rtl w:val="true"/>
        </w:rPr>
        <w:t>בענישה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הנוהגת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בעבירה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זו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ניתן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לראות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מנעד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נרחב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של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עונשים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המשתנה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לנוכח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כמויות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הסם</w:t>
      </w:r>
      <w:r>
        <w:rPr>
          <w:rFonts w:cs="David" w:ascii="David" w:hAnsi="David"/>
          <w:b/>
          <w:bCs/>
          <w:i/>
          <w:iCs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</w:rPr>
        <w:t>כמות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השתילים</w:t>
      </w:r>
      <w:r>
        <w:rPr>
          <w:rFonts w:cs="David" w:ascii="David" w:hAnsi="David"/>
          <w:b/>
          <w:bCs/>
          <w:i/>
          <w:iCs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</w:rPr>
        <w:t>דרך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הגידול</w:t>
      </w:r>
      <w:r>
        <w:rPr>
          <w:rFonts w:cs="David" w:ascii="David" w:hAnsi="David"/>
          <w:b/>
          <w:bCs/>
          <w:i/>
          <w:iCs/>
          <w:rtl w:val="true"/>
        </w:rPr>
        <w:t xml:space="preserve">,  </w:t>
      </w:r>
      <w:r>
        <w:rPr>
          <w:rFonts w:ascii="David" w:hAnsi="David"/>
          <w:b/>
          <w:b/>
          <w:bCs/>
          <w:i/>
          <w:i/>
          <w:iCs/>
          <w:rtl w:val="true"/>
        </w:rPr>
        <w:t>שלב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הגידול</w:t>
      </w:r>
      <w:r>
        <w:rPr>
          <w:rFonts w:cs="David" w:ascii="David" w:hAnsi="David"/>
          <w:b/>
          <w:bCs/>
          <w:i/>
          <w:iCs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</w:rPr>
        <w:t>נסיבות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אישיות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ועוד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ועוד</w:t>
      </w:r>
      <w:r>
        <w:rPr>
          <w:rFonts w:cs="David" w:ascii="David" w:hAnsi="David"/>
          <w:b/>
          <w:bCs/>
          <w:i/>
          <w:iCs/>
          <w:rtl w:val="true"/>
        </w:rPr>
        <w:t xml:space="preserve">. </w:t>
      </w:r>
      <w:r>
        <w:rPr>
          <w:rFonts w:ascii="David" w:hAnsi="David"/>
          <w:b/>
          <w:b/>
          <w:bCs/>
          <w:i/>
          <w:i/>
          <w:iCs/>
          <w:rtl w:val="true"/>
        </w:rPr>
        <w:t>סקירה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של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הפסיקה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הנוהגת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העלתה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כי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מתחם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הענישה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לעבירה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זו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נע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בין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של</w:t>
      </w:r>
      <w:r>
        <w:rPr>
          <w:rFonts w:cs="David" w:ascii="David" w:hAnsi="David"/>
          <w:b/>
          <w:bCs/>
          <w:i/>
          <w:iCs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rtl w:val="true"/>
        </w:rPr>
        <w:t>צ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ומאסר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מותנה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ועד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David" w:hAnsi="David"/>
          <w:b/>
          <w:bCs/>
          <w:i/>
          <w:iCs/>
        </w:rPr>
        <w:t>24</w:t>
      </w:r>
      <w:r>
        <w:rPr>
          <w:rFonts w:cs="David" w:ascii="David" w:hAnsi="David"/>
          <w:b/>
          <w:bCs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חודשי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מאסר</w:t>
      </w:r>
      <w:r>
        <w:rPr>
          <w:rFonts w:ascii="David" w:hAnsi="David"/>
          <w:b/>
          <w:b/>
          <w:bCs/>
          <w:i/>
          <w:i/>
          <w:iCs/>
          <w:rtl w:val="true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</w:rPr>
        <w:t>בפועל</w:t>
      </w:r>
      <w:r>
        <w:rPr>
          <w:rFonts w:cs="David" w:ascii="David" w:hAnsi="David"/>
          <w:rtl w:val="true"/>
        </w:rPr>
        <w:t>" 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4043-08-14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יצחק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</w:rPr>
        <w:t>07/09/15</w:t>
      </w:r>
      <w:r>
        <w:rPr>
          <w:rFonts w:cs="David" w:ascii="David" w:hAnsi="David"/>
          <w:rtl w:val="true"/>
        </w:rPr>
        <w:t xml:space="preserve">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8237/15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02/12/15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נעתרו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המחשה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28110-10-15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עידן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17/12/15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שגידל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קנאביס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3,600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עציצים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שהכילה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חדרונים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מאולתרים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מאווררים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תאורה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צינורות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השקייה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לעידוד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23797-03-14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01/12/15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מכשירי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מאוורר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טמפרטורה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48.31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9.1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ושתילים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923.62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25749-03-13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אנדריי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דובזנקו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30/04/14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גידל </w:t>
      </w:r>
      <w:r>
        <w:rPr>
          <w:rFonts w:ascii="David" w:hAnsi="David"/>
          <w:rtl w:val="true"/>
        </w:rPr>
        <w:t>בעציץ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הצמח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2746-09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ספורטס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23/12/11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שגידל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צמחים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בעציצים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8905/08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אילת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30/12/09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1953/07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יניב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גרייסמן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27/11/07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2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7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3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31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 (</w:t>
        </w:r>
        <w:r>
          <w:rPr>
            <w:rStyle w:val="Hyperlink"/>
            <w:rFonts w:cs="David" w:ascii="David" w:hAnsi="David"/>
            <w:color w:val="0000FF"/>
          </w:rPr>
          <w:t>3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32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קנאבוס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0.74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בחממה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קנאבוס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8.39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8153-08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סאלאם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29/09/09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וגידלה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קנאבוס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638.86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2262/07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26/10/08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68.37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עציצים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10.86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1886-10-07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עידן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אלינגולד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25/03/08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שגידל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112.68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935" w:leader="none"/>
        </w:tabs>
        <w:spacing w:lineRule="auto" w:line="360" w:before="240" w:after="240"/>
        <w:ind w:hanging="575" w:start="935" w:end="0"/>
        <w:jc w:val="both"/>
        <w:rPr>
          <w:rFonts w:ascii="David" w:hAnsi="David" w:cs="David"/>
        </w:rPr>
      </w:pP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4413/99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פיינרמן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05/04/01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קנאבוס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אוסיף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למרות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שאין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מחלוקת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שהמלצת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המבחן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הינה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בבחינת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המלצה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בלבד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ושאין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כדי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לחייב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cs="David" w:ascii="David" w:hAnsi="David"/>
          <w:rtl w:val="true"/>
          <w:lang w:eastAsia="he-IL"/>
        </w:rPr>
        <w:t>, "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תסקיר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שירות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המבחן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הוא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כלי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חשוב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באמצעותו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ניתן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לרדת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לעומקן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נסיבותיו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האישיות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הנאשם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ולעמוד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הגורמים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שהביאו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להידרדרותו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לביצוע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העבירות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כמו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גם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לבחינה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מעמיקה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ומקצועית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סיכויי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השיקום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ודרכי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השיקום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מכאן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עולה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בנסיבות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המתאימות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נכון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לתת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להמלצות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שירות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המבחן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משקל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משמעותי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ולעתים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אף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לאמצם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ראו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: </w:t>
      </w:r>
      <w:hyperlink r:id="rId37">
        <w:r>
          <w:rPr>
            <w:rStyle w:val="Hyperlink"/>
            <w:rFonts w:ascii="David" w:hAnsi="David"/>
            <w:b/>
            <w:b/>
            <w:bCs/>
            <w:i/>
            <w:i/>
            <w:i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i/>
            <w:i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i/>
            <w:i/>
            <w:i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i/>
            <w:iCs/>
            <w:color w:val="0000FF"/>
            <w:u w:val="single"/>
            <w:lang w:eastAsia="he-IL"/>
          </w:rPr>
          <w:t>472/11</w:t>
        </w:r>
      </w:hyperlink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פלוני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נ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>(</w:t>
      </w:r>
      <w:r>
        <w:rPr>
          <w:rFonts w:cs="David" w:ascii="David" w:hAnsi="David"/>
          <w:b/>
          <w:bCs/>
          <w:i/>
          <w:iCs/>
          <w:lang w:eastAsia="he-IL"/>
        </w:rPr>
        <w:t>03/09/2012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>)</w:t>
      </w:r>
      <w:r>
        <w:rPr>
          <w:rFonts w:cs="David" w:ascii="David" w:hAnsi="David"/>
          <w:rtl w:val="true"/>
          <w:lang w:eastAsia="he-IL"/>
        </w:rPr>
        <w:t xml:space="preserve">"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28110-10-15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מדינת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עידן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דוד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17/12/15</w:t>
      </w:r>
      <w:r>
        <w:rPr>
          <w:rFonts w:cs="David" w:ascii="David" w:hAnsi="David"/>
          <w:rtl w:val="true"/>
          <w:lang w:eastAsia="he-IL"/>
        </w:rPr>
        <w:t>).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החריגים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המאפשר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אין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ספק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שהעבירה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הורשעו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חמורה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זאת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להתעלם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מעוצמתה</w:t>
      </w:r>
      <w:r>
        <w:rPr>
          <w:rFonts w:cs="David" w:ascii="David" w:hAnsi="David"/>
          <w:rtl w:val="true"/>
          <w:lang w:eastAsia="he-IL"/>
        </w:rPr>
        <w:t xml:space="preserve">" </w:t>
      </w:r>
      <w:r>
        <w:rPr>
          <w:rFonts w:ascii="David" w:hAnsi="David"/>
          <w:rtl w:val="true"/>
          <w:lang w:eastAsia="he-IL"/>
        </w:rPr>
        <w:t>הנמוכה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ומהעובדה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למקם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מעשי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ברף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התחתון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העבירה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בנוסף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לאמור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ישנם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שיקולים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נוספים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המטים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הכף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לטובת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ההליך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הרשעה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ascii="David" w:hAnsi="David"/>
          <w:rtl w:val="true"/>
          <w:lang w:eastAsia="he-IL"/>
        </w:rPr>
        <w:t>הודאת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לקיחת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אחריות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והפקת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לקחים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עברם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הנקי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השיקום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שעברו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וההפסקה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היזומה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בסמים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אורח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חיים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נורמטיבי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בלתי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מידתית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צעירים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אשר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עתידם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עוד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לפניהם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האמור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מקבל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חשיבות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בשים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לב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לכך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שחלפו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כחמש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שנים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מאז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העבירה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כאשר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הוכיחו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שהמדובר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בהסתבכותם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האחת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והיחידה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בפלילים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ערה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אני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8528/12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אלירן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נגד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מדינת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ישראל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סבורתני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נסיבות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תיק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שונות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בראש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ובראשונה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בחומרת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העבירה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בהשוואה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לעבירה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אמצעים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לביצוע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פשע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>בעוצמתה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ובנסיבותיהם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כפי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שפורטו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לעיל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מכאן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בנסיבות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המיוחדות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הענין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השיקול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האינדיבידואלי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היבטיו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השונים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גובר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השיקול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הציבורי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>-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מערכתי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הכללי</w:t>
      </w:r>
      <w:r>
        <w:rPr>
          <w:rFonts w:cs="David" w:ascii="David" w:hAnsi="David"/>
          <w:rtl w:val="true"/>
          <w:lang w:eastAsia="he-IL"/>
        </w:rPr>
        <w:t>" (</w:t>
      </w:r>
      <w:r>
        <w:rPr>
          <w:rFonts w:ascii="David" w:hAnsi="David"/>
          <w:rtl w:val="true"/>
          <w:lang w:eastAsia="he-IL"/>
        </w:rPr>
        <w:t>הלכת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תמר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בעמ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cs="David" w:ascii="David" w:hAnsi="David"/>
          <w:lang w:eastAsia="he-IL"/>
        </w:rPr>
        <w:t>342</w:t>
      </w:r>
      <w:r>
        <w:rPr>
          <w:rFonts w:cs="David" w:ascii="David" w:hAnsi="David"/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בכגון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דא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אפנה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28110-10-15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17/12/15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הביעה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נאות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פרי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דע</w:t>
      </w:r>
      <w:r>
        <w:rPr>
          <w:rFonts w:ascii="David" w:hAnsi="David"/>
          <w:rtl w:val="true"/>
          <w:lang w:eastAsia="he-IL"/>
        </w:rPr>
        <w:t>ת</w:t>
      </w:r>
      <w:r>
        <w:rPr>
          <w:rFonts w:ascii="David" w:hAnsi="David"/>
          <w:rtl w:val="true"/>
          <w:lang w:eastAsia="he-IL"/>
        </w:rPr>
        <w:t>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ולפיה</w:t>
      </w:r>
      <w:r>
        <w:rPr>
          <w:rFonts w:cs="David" w:ascii="David" w:hAnsi="David"/>
          <w:rtl w:val="true"/>
          <w:lang w:eastAsia="he-IL"/>
        </w:rPr>
        <w:t>, "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הדגש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אינו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החזרה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החזרה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לעבודה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בנמל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אלא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הליך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השיקום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הכולל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אותו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עבר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המשיב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מאז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האירועים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בהם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עסקינן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ועד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היום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המדובר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בהליך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משמעותי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>(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במיוחד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לגבי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שזו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הסתבכותו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הראשונה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),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הכולל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טיפול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אינטנסיבי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התמודדות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הגורמים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שהביאוהו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לכדי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העבירה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מלכתחילה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שיקום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יחסיו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המשפחה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גיבוש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יכולות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לנטילת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אחריות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המשך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המהלכים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הימנעות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מכל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עבירה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הפרה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במשך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הזמן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שחלף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חיזוק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הביטחון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והדימוי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העצמי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–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ולשיטתי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יש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משקל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מכריע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לעמדת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שירות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המבחן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לפיה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ההרשעה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תפגע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קשות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>"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הישגים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"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שהושגו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עד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והם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ירדו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לטמיון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ולא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תאפשר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המשך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ההליך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השיקומי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עד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סיומו</w:t>
      </w:r>
      <w:r>
        <w:rPr>
          <w:rFonts w:cs="David" w:ascii="David" w:hAnsi="David"/>
          <w:rtl w:val="true"/>
          <w:lang w:eastAsia="he-IL"/>
        </w:rPr>
        <w:t>".</w:t>
      </w:r>
    </w:p>
    <w:p>
      <w:pPr>
        <w:pStyle w:val="Normal"/>
        <w:spacing w:lineRule="auto" w:line="360" w:before="240" w:after="240"/>
        <w:ind w:start="360" w:end="0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 w:before="240" w:after="240"/>
        <w:ind w:start="720" w:end="426"/>
        <w:jc w:val="both"/>
        <w:rPr>
          <w:rFonts w:ascii="David" w:hAnsi="David" w:cs="David"/>
          <w:lang w:eastAsia="he-IL"/>
        </w:rPr>
      </w:pPr>
      <w:r>
        <w:rPr>
          <w:rtl w:val="true"/>
          <w:lang w:eastAsia="he-IL"/>
        </w:rPr>
        <w:t>"</w:t>
      </w:r>
      <w:r>
        <w:rPr>
          <w:b/>
          <w:b/>
          <w:bCs/>
          <w:i/>
          <w:i/>
          <w:iCs/>
          <w:rtl w:val="true"/>
          <w:lang w:eastAsia="he-IL"/>
        </w:rPr>
        <w:t>באשר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לפגיעה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בעתידו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התעסוקתי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הנאשם</w:t>
      </w:r>
      <w:r>
        <w:rPr>
          <w:b/>
          <w:bCs/>
          <w:i/>
          <w:iCs/>
          <w:rtl w:val="true"/>
          <w:lang w:eastAsia="he-IL"/>
        </w:rPr>
        <w:t xml:space="preserve">, </w:t>
      </w:r>
      <w:r>
        <w:rPr>
          <w:b/>
          <w:b/>
          <w:bCs/>
          <w:i/>
          <w:i/>
          <w:iCs/>
          <w:rtl w:val="true"/>
          <w:lang w:eastAsia="he-IL"/>
        </w:rPr>
        <w:t>ועל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אף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שלא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הוצגה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בפני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פגיעה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קונקרטית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ומוחשית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בעתידו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התעסוקתי</w:t>
      </w:r>
      <w:r>
        <w:rPr>
          <w:b/>
          <w:bCs/>
          <w:i/>
          <w:iCs/>
          <w:rtl w:val="true"/>
          <w:lang w:eastAsia="he-IL"/>
        </w:rPr>
        <w:t xml:space="preserve">, </w:t>
      </w:r>
      <w:r>
        <w:rPr>
          <w:b/>
          <w:b/>
          <w:bCs/>
          <w:i/>
          <w:i/>
          <w:iCs/>
          <w:rtl w:val="true"/>
          <w:lang w:eastAsia="he-IL"/>
        </w:rPr>
        <w:t>סבורני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כי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בנסיבות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הנידון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דידן</w:t>
      </w:r>
      <w:r>
        <w:rPr>
          <w:b/>
          <w:bCs/>
          <w:i/>
          <w:iCs/>
          <w:rtl w:val="true"/>
          <w:lang w:eastAsia="he-IL"/>
        </w:rPr>
        <w:t xml:space="preserve">, </w:t>
      </w:r>
      <w:r>
        <w:rPr>
          <w:b/>
          <w:b/>
          <w:bCs/>
          <w:i/>
          <w:i/>
          <w:iCs/>
          <w:rtl w:val="true"/>
          <w:lang w:eastAsia="he-IL"/>
        </w:rPr>
        <w:t>שעה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שהנאשם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הינו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בחור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צעיר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בתחילת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חייו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הבוגרים</w:t>
      </w:r>
      <w:r>
        <w:rPr>
          <w:b/>
          <w:bCs/>
          <w:i/>
          <w:iCs/>
          <w:rtl w:val="true"/>
          <w:lang w:eastAsia="he-IL"/>
        </w:rPr>
        <w:t xml:space="preserve">, </w:t>
      </w:r>
      <w:r>
        <w:rPr>
          <w:b/>
          <w:b/>
          <w:bCs/>
          <w:i/>
          <w:i/>
          <w:iCs/>
          <w:rtl w:val="true"/>
          <w:lang w:eastAsia="he-IL"/>
        </w:rPr>
        <w:t>עומל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בימים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אלו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להשגת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השכלה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אקדמאית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בתחום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מדעי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המחשב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ובו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בעת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מפרנס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עצמו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כעובד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ייצור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במפעל</w:t>
      </w:r>
      <w:r>
        <w:rPr>
          <w:b/>
          <w:bCs/>
          <w:i/>
          <w:iCs/>
          <w:rtl w:val="true"/>
          <w:lang w:eastAsia="he-IL"/>
        </w:rPr>
        <w:t xml:space="preserve">, </w:t>
      </w:r>
      <w:r>
        <w:rPr>
          <w:b/>
          <w:b/>
          <w:bCs/>
          <w:i/>
          <w:i/>
          <w:iCs/>
          <w:rtl w:val="true"/>
          <w:lang w:eastAsia="he-IL"/>
        </w:rPr>
        <w:t>הרי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שעתידו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עוד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לפניו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וסביר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כי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הרשעה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בדין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עשויה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להוות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מכשול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בדרכו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לאפיקים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שונים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בשלב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כה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מוקדם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חייו</w:t>
      </w:r>
      <w:r>
        <w:rPr>
          <w:b/>
          <w:bCs/>
          <w:i/>
          <w:iCs/>
          <w:rtl w:val="true"/>
          <w:lang w:eastAsia="he-IL"/>
        </w:rPr>
        <w:t xml:space="preserve">. </w:t>
      </w:r>
      <w:r>
        <w:rPr>
          <w:b/>
          <w:b/>
          <w:bCs/>
          <w:i/>
          <w:i/>
          <w:iCs/>
          <w:rtl w:val="true"/>
          <w:lang w:eastAsia="he-IL"/>
        </w:rPr>
        <w:t>תמים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דעים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אני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עם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הסנגור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כי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אין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לפרש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את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הצורך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בהצבעה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פגיעה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באפשרות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התעסוקה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באופן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דווקני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כאשר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מדובר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בנאשמים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צעירים</w:t>
      </w:r>
      <w:r>
        <w:rPr>
          <w:b/>
          <w:bCs/>
          <w:i/>
          <w:iCs/>
          <w:rtl w:val="true"/>
          <w:lang w:eastAsia="he-IL"/>
        </w:rPr>
        <w:t xml:space="preserve">, </w:t>
      </w:r>
      <w:r>
        <w:rPr>
          <w:b/>
          <w:b/>
          <w:bCs/>
          <w:i/>
          <w:i/>
          <w:iCs/>
          <w:rtl w:val="true"/>
          <w:lang w:eastAsia="he-IL"/>
        </w:rPr>
        <w:t>שכן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קיים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קושי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מובנה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להצביע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על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פגיעה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ספציפית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בשלב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זה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של</w:t>
      </w:r>
      <w:r>
        <w:rPr>
          <w:rFonts w:cs="Times New Roman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b/>
          <w:b/>
          <w:bCs/>
          <w:i/>
          <w:i/>
          <w:iCs/>
          <w:rtl w:val="true"/>
          <w:lang w:eastAsia="he-IL"/>
        </w:rPr>
        <w:t>חייהם</w:t>
      </w:r>
      <w:r>
        <w:rPr>
          <w:rtl w:val="true"/>
          <w:lang w:eastAsia="he-IL"/>
        </w:rPr>
        <w:t>"</w:t>
      </w:r>
      <w:r>
        <w:rPr>
          <w:rFonts w:cs="David" w:ascii="David" w:hAnsi="David"/>
          <w:rtl w:val="true"/>
          <w:lang w:eastAsia="he-IL"/>
        </w:rPr>
        <w:t xml:space="preserve"> (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אי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25749-03-13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מדינת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אנדריי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דובזנקו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cs="David" w:ascii="David" w:hAnsi="David"/>
          <w:lang w:eastAsia="he-IL"/>
        </w:rPr>
        <w:t>30/04/14</w:t>
      </w:r>
      <w:r>
        <w:rPr>
          <w:rFonts w:cs="David" w:ascii="David" w:hAnsi="David"/>
          <w:rtl w:val="true"/>
          <w:lang w:eastAsia="he-IL"/>
        </w:rPr>
        <w:t>).</w:t>
      </w:r>
    </w:p>
    <w:p>
      <w:pPr>
        <w:pStyle w:val="Normal"/>
        <w:spacing w:lineRule="auto" w:line="360" w:before="240" w:after="240"/>
        <w:ind w:start="720" w:end="426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>...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ברי</w:t>
      </w:r>
      <w:r>
        <w:rPr>
          <w:rFonts w:cs="David" w:ascii="David" w:hAnsi="David"/>
          <w:b/>
          <w:bCs/>
          <w:i/>
          <w:i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הרשעה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עלולה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לפגוע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בנאשם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שהינו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צעיר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בימים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כשלפניו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פרושים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חייו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וזאת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חרף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העובדה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כי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טרם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עלה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בידו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להוכיח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פגיעה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קונקרטית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במשלח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ידו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בשלב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כה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מוקדם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בחייו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ובטרם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הבשיל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לגבש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את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נתיב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i/>
          <w:i/>
          <w:iCs/>
          <w:rtl w:val="true"/>
          <w:lang w:eastAsia="he-IL"/>
        </w:rPr>
        <w:t>חייו</w:t>
      </w:r>
      <w:r>
        <w:rPr>
          <w:rFonts w:cs="David" w:ascii="David" w:hAnsi="David"/>
          <w:rtl w:val="true"/>
          <w:lang w:eastAsia="he-IL"/>
        </w:rPr>
        <w:t>" (</w:t>
      </w:r>
      <w:r>
        <w:rPr>
          <w:rFonts w:ascii="David" w:hAnsi="David"/>
          <w:rtl w:val="true"/>
          <w:lang w:eastAsia="he-IL"/>
        </w:rPr>
        <w:t>ת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פ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ק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ג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cs="David" w:ascii="David" w:hAnsi="David"/>
          <w:lang w:eastAsia="he-IL"/>
        </w:rPr>
        <w:t>9369/01/13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מדינת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אוראל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שמואל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cs="David" w:ascii="David" w:hAnsi="David"/>
          <w:lang w:eastAsia="he-IL"/>
        </w:rPr>
        <w:t>29/04/15</w:t>
      </w:r>
      <w:r>
        <w:rPr>
          <w:rFonts w:cs="David" w:ascii="David" w:hAnsi="David"/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  <w:lang w:eastAsia="he-IL"/>
        </w:rPr>
      </w:pPr>
      <w:r>
        <w:rPr>
          <w:b/>
          <w:b/>
          <w:rtl w:val="true"/>
          <w:lang w:eastAsia="he-IL"/>
        </w:rPr>
        <w:t>בנסיבות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הללו</w:t>
      </w:r>
      <w:r>
        <w:rPr>
          <w:b/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שוכנעתי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להעדיף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ולהגשים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</w:t>
      </w:r>
      <w:r>
        <w:rPr>
          <w:rtl w:val="true"/>
          <w:lang w:eastAsia="he-IL"/>
        </w:rPr>
        <w:t>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יידרשו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כמנוף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בשילוב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ועונשו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  <w:bCs/>
          <w:lang w:eastAsia="he-IL"/>
        </w:rPr>
      </w:pPr>
      <w:r>
        <w:rPr>
          <w:rFonts w:ascii="David" w:hAnsi="David"/>
          <w:rtl w:val="true"/>
          <w:lang w:eastAsia="he-IL"/>
        </w:rPr>
        <w:t>לפיכך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אני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מורה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ביטול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ההרשעה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ומטילה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צו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צ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בהיקף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300</w:t>
      </w:r>
      <w:bookmarkStart w:id="6" w:name="LawTable"/>
      <w:bookmarkEnd w:id="6"/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Cs/>
          <w:rtl w:val="true"/>
          <w:lang w:eastAsia="he-IL"/>
        </w:rPr>
        <w:t>שעות</w:t>
      </w:r>
      <w:r>
        <w:rPr>
          <w:rFonts w:cs="David" w:ascii="David" w:hAnsi="David"/>
          <w:bCs/>
          <w:rtl w:val="true"/>
          <w:lang w:eastAsia="he-IL"/>
        </w:rPr>
        <w:t xml:space="preserve">, </w:t>
      </w:r>
      <w:r>
        <w:rPr>
          <w:rFonts w:ascii="David" w:hAnsi="David"/>
          <w:bCs/>
          <w:rtl w:val="true"/>
          <w:lang w:eastAsia="he-IL"/>
        </w:rPr>
        <w:t>בנוסף לצו מבחן לשנה</w:t>
      </w:r>
      <w:r>
        <w:rPr>
          <w:rFonts w:cs="David" w:ascii="David" w:hAnsi="David"/>
          <w:bCs/>
          <w:rtl w:val="true"/>
          <w:lang w:eastAsia="he-IL"/>
        </w:rPr>
        <w:t xml:space="preserve">. </w:t>
      </w:r>
      <w:r>
        <w:rPr>
          <w:rFonts w:ascii="David" w:hAnsi="David"/>
          <w:bCs/>
          <w:rtl w:val="true"/>
          <w:lang w:eastAsia="he-IL"/>
        </w:rPr>
        <w:t>המבחן יהיה בפיקוח שירות המבחן</w:t>
      </w:r>
      <w:r>
        <w:rPr>
          <w:rFonts w:cs="David" w:ascii="David" w:hAnsi="David"/>
          <w:bCs/>
          <w:rtl w:val="true"/>
          <w:lang w:eastAsia="he-IL"/>
        </w:rPr>
        <w:t xml:space="preserve">, </w:t>
      </w:r>
      <w:r>
        <w:rPr>
          <w:rFonts w:ascii="David" w:hAnsi="David"/>
          <w:bCs/>
          <w:rtl w:val="true"/>
          <w:lang w:eastAsia="he-IL"/>
        </w:rPr>
        <w:t>ללא צורך בצו שיפוטי נוסף</w:t>
      </w:r>
      <w:r>
        <w:rPr>
          <w:rFonts w:cs="David" w:ascii="David" w:hAnsi="David"/>
          <w:bCs/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60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הובהר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לנאשמים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שאם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יבצעו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השל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צ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כנדרש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יעמדו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במבחן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יוחזר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התיק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בשנית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לדון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מחדש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בשאלת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ההרשעה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והעונש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color w:val="FFFFFF"/>
          <w:sz w:val="2"/>
          <w:szCs w:val="2"/>
          <w:lang w:eastAsia="he-IL"/>
        </w:rPr>
        <w:t>5129371</w:t>
      </w:r>
      <w:r>
        <w:rPr>
          <w:rFonts w:ascii="David" w:hAnsi="David"/>
          <w:rtl w:val="true"/>
          <w:lang w:eastAsia="he-IL"/>
        </w:rPr>
        <w:t>זכות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בתוך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45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ימים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מאיה אב גנים ויינשטיין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בי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10816-02-15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אבישי אברהם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600" w:hanging="360"/>
      </w:pPr>
      <w:rPr>
        <w:rFonts w:cs="Times New Roman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  <w:rPr>
        <w:rFonts w:cs="Times New Roman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563C1"/>
      <w:u w:val="single"/>
    </w:rPr>
  </w:style>
  <w:style w:type="character" w:styleId="BodyTextIndentChar">
    <w:name w:val="Body Text Indent Char"/>
    <w:qFormat/>
    <w:rPr>
      <w:rFonts w:cs="David"/>
      <w:sz w:val="26"/>
      <w:szCs w:val="26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</w:pPr>
    <w:rPr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c.3" TargetMode="External"/><Relationship Id="rId9" Type="http://schemas.openxmlformats.org/officeDocument/2006/relationships/hyperlink" Target="http://www.nevo.co.il/law/70301/498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6161385" TargetMode="External"/><Relationship Id="rId13" Type="http://schemas.openxmlformats.org/officeDocument/2006/relationships/hyperlink" Target="http://www.nevo.co.il/case/5810781" TargetMode="External"/><Relationship Id="rId14" Type="http://schemas.openxmlformats.org/officeDocument/2006/relationships/hyperlink" Target="http://www.nevo.co.il/case/6161385" TargetMode="External"/><Relationship Id="rId15" Type="http://schemas.openxmlformats.org/officeDocument/2006/relationships/hyperlink" Target="http://www.nevo.co.il/law/4216/6" TargetMode="External"/><Relationship Id="rId16" Type="http://schemas.openxmlformats.org/officeDocument/2006/relationships/hyperlink" Target="http://www.nevo.co.il/case/10446995" TargetMode="External"/><Relationship Id="rId17" Type="http://schemas.openxmlformats.org/officeDocument/2006/relationships/hyperlink" Target="http://www.nevo.co.il/case/17902390" TargetMode="External"/><Relationship Id="rId18" Type="http://schemas.openxmlformats.org/officeDocument/2006/relationships/hyperlink" Target="http://www.nevo.co.il/case/20770504" TargetMode="External"/><Relationship Id="rId19" Type="http://schemas.openxmlformats.org/officeDocument/2006/relationships/hyperlink" Target="http://www.nevo.co.il/law/4216/6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20632055" TargetMode="External"/><Relationship Id="rId22" Type="http://schemas.openxmlformats.org/officeDocument/2006/relationships/hyperlink" Target="http://www.nevo.co.il/case/13049328" TargetMode="External"/><Relationship Id="rId23" Type="http://schemas.openxmlformats.org/officeDocument/2006/relationships/hyperlink" Target="http://www.nevo.co.il/case/6829277" TargetMode="External"/><Relationship Id="rId24" Type="http://schemas.openxmlformats.org/officeDocument/2006/relationships/hyperlink" Target="http://www.nevo.co.il/case/2376276" TargetMode="External"/><Relationship Id="rId25" Type="http://schemas.openxmlformats.org/officeDocument/2006/relationships/hyperlink" Target="http://www.nevo.co.il/law/70301/49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/6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4216/7.a.;7.c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144.c.3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case/2522650" TargetMode="External"/><Relationship Id="rId34" Type="http://schemas.openxmlformats.org/officeDocument/2006/relationships/hyperlink" Target="http://www.nevo.co.il/case/2319806" TargetMode="External"/><Relationship Id="rId35" Type="http://schemas.openxmlformats.org/officeDocument/2006/relationships/hyperlink" Target="http://www.nevo.co.il/case/6749740" TargetMode="External"/><Relationship Id="rId36" Type="http://schemas.openxmlformats.org/officeDocument/2006/relationships/hyperlink" Target="http://www.nevo.co.il/case/1602562" TargetMode="External"/><Relationship Id="rId37" Type="http://schemas.openxmlformats.org/officeDocument/2006/relationships/hyperlink" Target="http://www.nevo.co.il/case/6245835" TargetMode="External"/><Relationship Id="rId38" Type="http://schemas.openxmlformats.org/officeDocument/2006/relationships/hyperlink" Target="http://www.nevo.co.il/case/20632055" TargetMode="External"/><Relationship Id="rId39" Type="http://schemas.openxmlformats.org/officeDocument/2006/relationships/hyperlink" Target="http://www.nevo.co.il/case/5608134" TargetMode="External"/><Relationship Id="rId40" Type="http://schemas.openxmlformats.org/officeDocument/2006/relationships/hyperlink" Target="http://www.nevo.co.il/case/20632055" TargetMode="External"/><Relationship Id="rId41" Type="http://schemas.openxmlformats.org/officeDocument/2006/relationships/hyperlink" Target="http://www.nevo.co.il/case/6829277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2016-01-31T12:58:00Z</dcterms:created>
  <dc:creator> </dc:creator>
  <dc:description/>
  <cp:keywords/>
  <dc:language>en-IL</dc:language>
  <cp:lastModifiedBy>hofit</cp:lastModifiedBy>
  <dcterms:modified xsi:type="dcterms:W3CDTF">2016-01-31T12:58:00Z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אבישי אברהם;דביר דניאל</vt:lpwstr>
  </property>
  <property fmtid="{D5CDD505-2E9C-101B-9397-08002B2CF9AE}" pid="4" name="CASENOTES1">
    <vt:lpwstr>ProcID=133&amp;PartA=2555&amp;PartC=12</vt:lpwstr>
  </property>
  <property fmtid="{D5CDD505-2E9C-101B-9397-08002B2CF9AE}" pid="5" name="CASENOTES2">
    <vt:lpwstr>ProcID=209&amp;PartA=1953&amp;PartC=07</vt:lpwstr>
  </property>
  <property fmtid="{D5CDD505-2E9C-101B-9397-08002B2CF9AE}" pid="6" name="CASENOTES3">
    <vt:lpwstr>ProcID=209&amp;PartA=9369&amp;PartC=01/13</vt:lpwstr>
  </property>
  <property fmtid="{D5CDD505-2E9C-101B-9397-08002B2CF9AE}" pid="7" name="CASENOTES4">
    <vt:lpwstr>ProcID=209&amp;PartA=2746&amp;PartC=09</vt:lpwstr>
  </property>
  <property fmtid="{D5CDD505-2E9C-101B-9397-08002B2CF9AE}" pid="8" name="CASENOTES5">
    <vt:lpwstr>ProcID=213&amp;PartA=09&amp;PartC=11/15</vt:lpwstr>
  </property>
  <property fmtid="{D5CDD505-2E9C-101B-9397-08002B2CF9AE}" pid="9" name="CASESLISTTMP1">
    <vt:lpwstr>6161385:2;5810781;10446995;17902390;20770504;20632055:3;13049328;6829277:2;2376276;2522650;2319806;6749740;1602562;6245835;5608134</vt:lpwstr>
  </property>
  <property fmtid="{D5CDD505-2E9C-101B-9397-08002B2CF9AE}" pid="10" name="CITY">
    <vt:lpwstr>בי"ש</vt:lpwstr>
  </property>
  <property fmtid="{D5CDD505-2E9C-101B-9397-08002B2CF9AE}" pid="11" name="DATE">
    <vt:lpwstr>20160125</vt:lpwstr>
  </property>
  <property fmtid="{D5CDD505-2E9C-101B-9397-08002B2CF9AE}" pid="12" name="ISABSTRACT">
    <vt:lpwstr>Y</vt:lpwstr>
  </property>
  <property fmtid="{D5CDD505-2E9C-101B-9397-08002B2CF9AE}" pid="13" name="JUDGE">
    <vt:lpwstr>מאיה אב גנים ויינשטיין</vt:lpwstr>
  </property>
  <property fmtid="{D5CDD505-2E9C-101B-9397-08002B2CF9AE}" pid="14" name="LAWLISTTMP1">
    <vt:lpwstr>4216/006:5;007.a:2;007.c:2</vt:lpwstr>
  </property>
  <property fmtid="{D5CDD505-2E9C-101B-9397-08002B2CF9AE}" pid="15" name="LAWLISTTMP2">
    <vt:lpwstr>70301/498:2;144.a:3;144.c.3:2</vt:lpwstr>
  </property>
  <property fmtid="{D5CDD505-2E9C-101B-9397-08002B2CF9AE}" pid="16" name="LAWYER">
    <vt:lpwstr>(300 400 שעות);הוסיף;כי אלמלא היה מדובר באירוע מ כחמש שנים;הייתה למאסר בעבודות שירות;הדגיש את פרק הזמן הרב שחלף ממועד ביצוע העבירה ועד למועד הגשת כתב האישום;ואת העובדה שמאז ביצוע העבירה;לא הסתבכו בפלילים. אשר לשאלת ההרשעה נ;כי המדובר ב צעירים;ומה ייעודו</vt:lpwstr>
  </property>
  <property fmtid="{D5CDD505-2E9C-101B-9397-08002B2CF9AE}" pid="17" name="NEWPARTA">
    <vt:lpwstr>10816</vt:lpwstr>
  </property>
  <property fmtid="{D5CDD505-2E9C-101B-9397-08002B2CF9AE}" pid="18" name="NEWPARTB">
    <vt:lpwstr>02</vt:lpwstr>
  </property>
  <property fmtid="{D5CDD505-2E9C-101B-9397-08002B2CF9AE}" pid="19" name="NEWPARTC">
    <vt:lpwstr>15</vt:lpwstr>
  </property>
  <property fmtid="{D5CDD505-2E9C-101B-9397-08002B2CF9AE}" pid="20" name="NEWPROC">
    <vt:lpwstr>תפ</vt:lpwstr>
  </property>
  <property fmtid="{D5CDD505-2E9C-101B-9397-08002B2CF9AE}" pid="21" name="PSAKDIN">
    <vt:lpwstr>גזר-דין</vt:lpwstr>
  </property>
  <property fmtid="{D5CDD505-2E9C-101B-9397-08002B2CF9AE}" pid="22" name="TYPE">
    <vt:lpwstr>3</vt:lpwstr>
  </property>
  <property fmtid="{D5CDD505-2E9C-101B-9397-08002B2CF9AE}" pid="23" name="TYPE_ABS_DATE">
    <vt:lpwstr>380020160125</vt:lpwstr>
  </property>
  <property fmtid="{D5CDD505-2E9C-101B-9397-08002B2CF9AE}" pid="24" name="TYPE_N_DATE">
    <vt:lpwstr>38020160125</vt:lpwstr>
  </property>
  <property fmtid="{D5CDD505-2E9C-101B-9397-08002B2CF9AE}" pid="25" name="WORDNUMPAGES">
    <vt:lpwstr>8</vt:lpwstr>
  </property>
</Properties>
</file>