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10875-12-21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צאפי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מרב גרינברג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שירה מוהר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נור אבו צאפי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עלא תלאווי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פאדי אבו צאפי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שאדי נאטור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bookmarkStart w:id="8" w:name="ABSTRACT_START"/>
      <w:bookmarkEnd w:id="8"/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אחים</w:t>
      </w:r>
      <w:r>
        <w:rPr>
          <w:rtl w:val="true"/>
        </w:rPr>
        <w:t xml:space="preserve">, </w:t>
      </w:r>
      <w:r>
        <w:rPr>
          <w:rtl w:val="true"/>
        </w:rPr>
        <w:t>הורשעו במסגרת הסדר דיוני</w:t>
      </w:r>
      <w:r>
        <w:rPr>
          <w:rtl w:val="true"/>
        </w:rPr>
        <w:t xml:space="preserve">, </w:t>
      </w:r>
      <w:r>
        <w:rPr>
          <w:rtl w:val="true"/>
        </w:rPr>
        <w:t>בעובדות כתב אישום מתוקן</w:t>
      </w:r>
      <w:r>
        <w:rPr>
          <w:rtl w:val="true"/>
        </w:rPr>
        <w:t xml:space="preserve">. </w:t>
      </w:r>
      <w:r>
        <w:rPr>
          <w:u w:val="single"/>
          <w:rtl w:val="true"/>
        </w:rPr>
        <w:t xml:space="preserve">נאשם </w:t>
      </w:r>
      <w:r>
        <w:rPr>
          <w:u w:val="single"/>
        </w:rPr>
        <w:t>1</w:t>
      </w:r>
      <w:r>
        <w:rPr>
          <w:rtl w:val="true"/>
        </w:rPr>
        <w:t xml:space="preserve">, </w:t>
      </w:r>
      <w:r>
        <w:rPr>
          <w:rtl w:val="true"/>
        </w:rPr>
        <w:t>בעבירת</w:t>
      </w:r>
      <w:r>
        <w:rPr>
          <w:b/>
          <w:b/>
          <w:bCs/>
          <w:rtl w:val="true"/>
        </w:rPr>
        <w:t xml:space="preserve"> החזקת נשק </w:t>
      </w:r>
      <w:r>
        <w:rPr>
          <w:rtl w:val="true"/>
        </w:rPr>
        <w:t xml:space="preserve">לפי </w:t>
      </w:r>
      <w:hyperlink r:id="rId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ל</w:t>
      </w:r>
      <w:hyperlink r:id="rId6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"); </w:t>
      </w:r>
      <w:r>
        <w:rPr>
          <w:u w:val="single"/>
          <w:rtl w:val="true"/>
        </w:rPr>
        <w:t xml:space="preserve">נאשם </w:t>
      </w:r>
      <w:r>
        <w:rPr>
          <w:u w:val="single"/>
        </w:rPr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בעבירת </w:t>
      </w:r>
      <w:r>
        <w:rPr>
          <w:b/>
          <w:b/>
          <w:bCs/>
          <w:rtl w:val="true"/>
        </w:rPr>
        <w:t>סיוע להחזקת נשק</w:t>
      </w:r>
      <w:r>
        <w:rPr>
          <w:rtl w:val="true"/>
        </w:rPr>
        <w:t xml:space="preserve"> לפי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b/>
          <w:bCs/>
        </w:rPr>
      </w:pPr>
      <w:r>
        <w:rPr>
          <w:rtl w:val="true"/>
        </w:rPr>
        <w:t>כמפורט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23.11.21</w:t>
      </w:r>
      <w:r>
        <w:rPr>
          <w:rtl w:val="true"/>
        </w:rPr>
        <w:t xml:space="preserve"> </w:t>
      </w:r>
      <w:r>
        <w:rPr>
          <w:rtl w:val="true"/>
        </w:rPr>
        <w:t xml:space="preserve">החזיק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בסיוע הנאשם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במתחם בית המשפחה ביישוב קלנסוואה</w:t>
      </w:r>
      <w:r>
        <w:rPr>
          <w:rtl w:val="true"/>
        </w:rPr>
        <w:t xml:space="preserve">, </w:t>
      </w:r>
      <w:r>
        <w:rPr>
          <w:rtl w:val="true"/>
        </w:rPr>
        <w:t xml:space="preserve">אקדח </w:t>
      </w:r>
      <w:r>
        <w:rPr>
          <w:rtl w:val="true"/>
        </w:rPr>
        <w:t>"</w:t>
      </w:r>
      <w:r>
        <w:rPr>
          <w:rtl w:val="true"/>
        </w:rPr>
        <w:t>גלוק</w:t>
      </w:r>
      <w:r>
        <w:rPr>
          <w:rtl w:val="true"/>
        </w:rPr>
        <w:t xml:space="preserve">" </w:t>
      </w:r>
      <w:r>
        <w:rPr>
          <w:rtl w:val="true"/>
        </w:rPr>
        <w:t xml:space="preserve">ושלוש מחסניות תואמות מאחורי מבנה המשמש לישיבה משותפת של המשפחה ומחסנית של רובה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ותופס מחסנית שהוחזקו על גג מחסן במתחם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9" w:name="ABSTRACT_END"/>
      <w:bookmarkStart w:id="10" w:name="ABSTRACT_END"/>
      <w:bookmarkEnd w:id="10"/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הצדדים הציגו הסדר טיעון דיוני</w:t>
      </w:r>
      <w:r>
        <w:rPr>
          <w:rtl w:val="true"/>
        </w:rPr>
        <w:t xml:space="preserve">, </w:t>
      </w:r>
      <w:r>
        <w:rPr>
          <w:rtl w:val="true"/>
        </w:rPr>
        <w:t>לפיו הנאשמים יודו ויורשעו בעובדות כתב אישום מתוקן</w:t>
      </w:r>
      <w:r>
        <w:rPr>
          <w:rtl w:val="true"/>
        </w:rPr>
        <w:t xml:space="preserve">. </w:t>
      </w:r>
      <w:r>
        <w:rPr>
          <w:rtl w:val="true"/>
        </w:rPr>
        <w:t xml:space="preserve">באשר לנאשם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הסכימו הצדדים כי יופנה לקבלת תסקיר</w:t>
      </w:r>
      <w:r>
        <w:rPr>
          <w:rtl w:val="true"/>
        </w:rPr>
        <w:t xml:space="preserve">, </w:t>
      </w:r>
      <w:r>
        <w:rPr>
          <w:rtl w:val="true"/>
        </w:rPr>
        <w:t xml:space="preserve">באשר לנאשם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הוסכם כי יופנה לממונה על עבודות שירות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>)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עובד מזה כ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 כנגר בנגרייה בבעלותו ובשותפות עם אחיו הבכור</w:t>
      </w:r>
      <w:r>
        <w:rPr>
          <w:rtl w:val="true"/>
        </w:rPr>
        <w:t xml:space="preserve">. </w:t>
      </w:r>
      <w:r>
        <w:rPr>
          <w:rtl w:val="true"/>
        </w:rPr>
        <w:t>תיאר את תקופת מעצרו</w:t>
      </w:r>
      <w:r>
        <w:rPr>
          <w:rtl w:val="true"/>
        </w:rPr>
        <w:t xml:space="preserve">, </w:t>
      </w:r>
      <w:r>
        <w:rPr>
          <w:rtl w:val="true"/>
        </w:rPr>
        <w:t>במשך כארבעה חודשים</w:t>
      </w:r>
      <w:r>
        <w:rPr>
          <w:rtl w:val="true"/>
        </w:rPr>
        <w:t xml:space="preserve">, </w:t>
      </w:r>
      <w:r>
        <w:rPr>
          <w:rtl w:val="true"/>
        </w:rPr>
        <w:t>ובהמשך בתנאים מגבילים</w:t>
      </w:r>
      <w:r>
        <w:rPr>
          <w:rtl w:val="true"/>
        </w:rPr>
        <w:t xml:space="preserve">, </w:t>
      </w:r>
      <w:r>
        <w:rPr>
          <w:rtl w:val="true"/>
        </w:rPr>
        <w:t>כתקופה קשה עבורו</w:t>
      </w:r>
      <w:r>
        <w:rPr>
          <w:rtl w:val="true"/>
        </w:rPr>
        <w:t xml:space="preserve">, </w:t>
      </w:r>
      <w:r>
        <w:rPr>
          <w:rtl w:val="true"/>
        </w:rPr>
        <w:t>בה חווה השפלה והתדרדרות במצבו הכלכלי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אשר לביצוע העבירות</w:t>
      </w:r>
      <w:r>
        <w:rPr>
          <w:rtl w:val="true"/>
        </w:rPr>
        <w:t xml:space="preserve">, </w:t>
      </w:r>
      <w:r>
        <w:rPr>
          <w:rtl w:val="true"/>
        </w:rPr>
        <w:t>הנאשם הודה בביצוע העבירה באופן מילולי בלבד</w:t>
      </w:r>
      <w:r>
        <w:rPr>
          <w:rtl w:val="true"/>
        </w:rPr>
        <w:t xml:space="preserve">, </w:t>
      </w:r>
      <w:r>
        <w:rPr>
          <w:rtl w:val="true"/>
        </w:rPr>
        <w:t>תיאר עצמו כאדם שומר חוק</w:t>
      </w:r>
      <w:r>
        <w:rPr>
          <w:rtl w:val="true"/>
        </w:rPr>
        <w:t xml:space="preserve">, </w:t>
      </w:r>
      <w:r>
        <w:rPr>
          <w:rtl w:val="true"/>
        </w:rPr>
        <w:t>ביטא עמדות תקינות ביחס לנשק ואף ביטא עמדה ביקורתית לתופעת החזקת הנשק והשימוש בו בחברה הערבית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בהיבט הטיפולי</w:t>
      </w:r>
      <w:r>
        <w:rPr>
          <w:rtl w:val="true"/>
        </w:rPr>
        <w:t xml:space="preserve">, </w:t>
      </w:r>
      <w:r>
        <w:rPr>
          <w:rtl w:val="true"/>
        </w:rPr>
        <w:t>השתתף בקבוצת עצורי בית</w:t>
      </w:r>
      <w:r>
        <w:rPr>
          <w:rtl w:val="true"/>
        </w:rPr>
        <w:t xml:space="preserve">, </w:t>
      </w:r>
      <w:r>
        <w:rPr>
          <w:rtl w:val="true"/>
        </w:rPr>
        <w:t>שלל צורך בהמשך נזקקות טיפולית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להתרשמות שירות המבחן הרקע לעבירות נעוץ בלחצים  על ידי גורמים שוליים בסביבתו</w:t>
      </w:r>
      <w:r>
        <w:rPr>
          <w:rtl w:val="true"/>
        </w:rPr>
        <w:t xml:space="preserve">, </w:t>
      </w:r>
      <w:r>
        <w:rPr>
          <w:rtl w:val="true"/>
        </w:rPr>
        <w:t>והוערך כי המשך מעורבותו עם גורמים אלה טומן סיכון להמשך התנהלות לא חוקית בתחום הנשק</w:t>
      </w:r>
      <w:r>
        <w:rPr>
          <w:rtl w:val="true"/>
        </w:rPr>
        <w:t xml:space="preserve">. </w:t>
      </w:r>
      <w:r>
        <w:rPr>
          <w:rtl w:val="true"/>
        </w:rPr>
        <w:t>בצד זאת הוערך כי אין אינדיקציה לקיומם של דפוסים אלימים או עברייניים מושרשים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נוכח קשיי הנאשם להתייחס באופן ענייני לגורמים שהובילו למעצרו ולמשמעות המיוחס לו</w:t>
      </w:r>
      <w:r>
        <w:rPr>
          <w:rtl w:val="true"/>
        </w:rPr>
        <w:t xml:space="preserve">, </w:t>
      </w:r>
      <w:r>
        <w:rPr>
          <w:rtl w:val="true"/>
        </w:rPr>
        <w:t>לא ניתן היה להעריך הפחתת מסוכנות</w:t>
      </w:r>
      <w:r>
        <w:rPr>
          <w:rtl w:val="true"/>
        </w:rPr>
        <w:t xml:space="preserve">. </w:t>
      </w:r>
      <w:r>
        <w:rPr>
          <w:rtl w:val="true"/>
        </w:rPr>
        <w:t>בנסיבות האמורות ונוכח עמדותיו אודות ביצוע העבירה</w:t>
      </w:r>
      <w:r>
        <w:rPr>
          <w:rtl w:val="true"/>
        </w:rPr>
        <w:t xml:space="preserve">, </w:t>
      </w:r>
      <w:r>
        <w:rPr>
          <w:rtl w:val="true"/>
        </w:rPr>
        <w:t>נמנע שירות המבחן מהמלצה טיפולית</w:t>
      </w:r>
      <w:r>
        <w:rPr>
          <w:rtl w:val="true"/>
        </w:rPr>
        <w:t xml:space="preserve">.   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>)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u w:val="single"/>
        </w:rPr>
      </w:pPr>
      <w:r>
        <w:rPr>
          <w:u w:val="single"/>
          <w:rtl w:val="true"/>
        </w:rPr>
        <w:t>חוות דעת מאת עו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 xml:space="preserve">ס מיכל לובלסקי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>/</w:t>
      </w:r>
      <w:r>
        <w:rPr>
          <w:u w:val="single"/>
        </w:rPr>
        <w:t>1</w:t>
      </w:r>
      <w:r>
        <w:rPr>
          <w:u w:val="single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 xml:space="preserve">במקביל לטיפול בשירות המבחן שולב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בטיפול פרטי</w:t>
      </w:r>
      <w:r>
        <w:rPr>
          <w:rtl w:val="true"/>
        </w:rPr>
        <w:t xml:space="preserve">. </w:t>
      </w:r>
      <w:r>
        <w:rPr>
          <w:rtl w:val="true"/>
        </w:rPr>
        <w:t>כעולה מחוות הדעת המטפלת ומעדותה לפניי</w:t>
      </w:r>
      <w:r>
        <w:rPr>
          <w:rtl w:val="true"/>
        </w:rPr>
        <w:t xml:space="preserve">, </w:t>
      </w:r>
      <w:r>
        <w:rPr>
          <w:rtl w:val="true"/>
        </w:rPr>
        <w:t>הנאשם פנה מיוזמתו לטיפול לפני חצי שנה במטרה לסייע לבחינת התנהגותו</w:t>
      </w:r>
      <w:r>
        <w:rPr>
          <w:rtl w:val="true"/>
        </w:rPr>
        <w:t xml:space="preserve">, </w:t>
      </w:r>
      <w:r>
        <w:rPr>
          <w:rtl w:val="true"/>
        </w:rPr>
        <w:t>זיהוי כשליו ומניעת מצבי סיכון עתידיים</w:t>
      </w:r>
      <w:r>
        <w:rPr>
          <w:rtl w:val="true"/>
        </w:rPr>
        <w:t xml:space="preserve">. </w:t>
      </w:r>
      <w:r>
        <w:rPr>
          <w:rtl w:val="true"/>
        </w:rPr>
        <w:t>להתרשמותה</w:t>
      </w:r>
      <w:r>
        <w:rPr>
          <w:rtl w:val="true"/>
        </w:rPr>
        <w:t xml:space="preserve">, </w:t>
      </w:r>
      <w:r>
        <w:rPr>
          <w:rtl w:val="true"/>
        </w:rPr>
        <w:t>הנאשם  לא אוחז בנורמות חשיבה עברייניות</w:t>
      </w:r>
      <w:r>
        <w:rPr>
          <w:rtl w:val="true"/>
        </w:rPr>
        <w:t xml:space="preserve">, </w:t>
      </w:r>
      <w:r>
        <w:rPr>
          <w:rtl w:val="true"/>
        </w:rPr>
        <w:t>מתמודד עם טראומה כתוצאה ממעורבותו בתאונת דרכים לפני כעשור בה נהרג חברו ובעל שאיפות נורמטיביות</w:t>
      </w:r>
      <w:r>
        <w:rPr>
          <w:rtl w:val="true"/>
        </w:rPr>
        <w:t xml:space="preserve">. </w:t>
      </w:r>
      <w:r>
        <w:rPr>
          <w:rtl w:val="true"/>
        </w:rPr>
        <w:t>מדבריו עלה שאינו בעל האקדח אך הודה בהחזקתו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ס לובלסקי הוסיפה כי הנאשם ממוקד כיום בפרנסת משפחתו</w:t>
      </w:r>
      <w:r>
        <w:rPr>
          <w:rtl w:val="true"/>
        </w:rPr>
        <w:t xml:space="preserve">, </w:t>
      </w:r>
      <w:r>
        <w:rPr>
          <w:rtl w:val="true"/>
        </w:rPr>
        <w:t>עבודתו וניהול אורח חיים תקין</w:t>
      </w:r>
      <w:r>
        <w:rPr>
          <w:rtl w:val="true"/>
        </w:rPr>
        <w:t xml:space="preserve">, </w:t>
      </w:r>
      <w:r>
        <w:rPr>
          <w:rtl w:val="true"/>
        </w:rPr>
        <w:t>להערכתה</w:t>
      </w:r>
      <w:r>
        <w:rPr>
          <w:rtl w:val="true"/>
        </w:rPr>
        <w:t xml:space="preserve">, </w:t>
      </w:r>
      <w:r>
        <w:rPr>
          <w:rtl w:val="true"/>
        </w:rPr>
        <w:t>הנאשם בעל אינטליגנציה ויכולות תפקודיות טובות מבחינה תעסוקתית וחברתית</w:t>
      </w:r>
      <w:r>
        <w:rPr>
          <w:rtl w:val="true"/>
        </w:rPr>
        <w:t xml:space="preserve">, </w:t>
      </w:r>
      <w:r>
        <w:rPr>
          <w:rtl w:val="true"/>
        </w:rPr>
        <w:t>על כן המליצה להימנע מהשתת עונש מאסר בפועל</w:t>
      </w:r>
      <w:r>
        <w:rPr>
          <w:rtl w:val="true"/>
        </w:rPr>
        <w:t xml:space="preserve">, </w:t>
      </w:r>
      <w:r>
        <w:rPr>
          <w:rtl w:val="true"/>
        </w:rPr>
        <w:t>ולהשית עליו עונש בדרך של עבודות שירות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מיטל אילן</w:t>
      </w:r>
      <w:r>
        <w:rPr>
          <w:rtl w:val="true"/>
        </w:rPr>
        <w:t xml:space="preserve">, </w:t>
      </w:r>
      <w:r>
        <w:rPr>
          <w:rtl w:val="true"/>
        </w:rPr>
        <w:t>עמדה בטיעוניה על חומרת עבירות הנשק</w:t>
      </w:r>
      <w:r>
        <w:rPr>
          <w:rtl w:val="true"/>
        </w:rPr>
        <w:t xml:space="preserve">, </w:t>
      </w:r>
      <w:r>
        <w:rPr>
          <w:rtl w:val="true"/>
        </w:rPr>
        <w:t>הערכים המוגנים שנפגעו ומגמת ההחמרה בענישה בעבירות אלו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חומרת העבירות מצויה ברף הגבוה היות ומדובר בהחזקת נשק יחד עם מחסניות תואמות</w:t>
      </w:r>
      <w:r>
        <w:rPr>
          <w:rtl w:val="true"/>
        </w:rPr>
        <w:t xml:space="preserve">. </w:t>
      </w:r>
      <w:r>
        <w:rPr>
          <w:rtl w:val="true"/>
        </w:rPr>
        <w:t xml:space="preserve">בנסיבות אלו עתרה באשר לנאשם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למתחם ענישה הנע בין </w:t>
      </w:r>
      <w:r>
        <w:rPr/>
        <w:t>36-18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בהתחשב בנסיבות שאינן קשורות לביצוע העבירה</w:t>
      </w:r>
      <w:r>
        <w:rPr>
          <w:rtl w:val="true"/>
        </w:rPr>
        <w:t xml:space="preserve">, </w:t>
      </w:r>
      <w:r>
        <w:rPr>
          <w:rtl w:val="true"/>
        </w:rPr>
        <w:t>ציינה את עברו הפלילי</w:t>
      </w:r>
      <w:r>
        <w:rPr>
          <w:rtl w:val="true"/>
        </w:rPr>
        <w:t xml:space="preserve">, </w:t>
      </w:r>
      <w:r>
        <w:rPr>
          <w:rtl w:val="true"/>
        </w:rPr>
        <w:t>ביקשה ליתן עדיפות לתסקיר שירות המבחן על פני חוות הדעת הפרטית</w:t>
      </w:r>
      <w:r>
        <w:rPr>
          <w:rtl w:val="true"/>
        </w:rPr>
        <w:t xml:space="preserve">, </w:t>
      </w:r>
      <w:r>
        <w:rPr>
          <w:rtl w:val="true"/>
        </w:rPr>
        <w:t>והפנתה לכך שלא נטל אחריות מלאה למעשיו והמנעות שירות המבחן מהמלצה טיפולית</w:t>
      </w:r>
      <w:r>
        <w:rPr>
          <w:rtl w:val="true"/>
        </w:rPr>
        <w:t xml:space="preserve">. </w:t>
      </w:r>
      <w:r>
        <w:rPr>
          <w:rtl w:val="true"/>
        </w:rPr>
        <w:t>לפיכך עתרה למקמו בחלק העליון של השליש התחתון וענישה נלווית</w:t>
      </w:r>
      <w:r>
        <w:rPr>
          <w:rtl w:val="true"/>
        </w:rPr>
        <w:t xml:space="preserve">. </w:t>
      </w:r>
      <w:r>
        <w:rPr>
          <w:rtl w:val="true"/>
        </w:rPr>
        <w:t xml:space="preserve">באשר לנאשם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עתרה להשית עליו תשעה חודשי עבודות שירות וענישה נלווית</w:t>
      </w:r>
      <w:r>
        <w:rPr>
          <w:rtl w:val="true"/>
        </w:rPr>
        <w:t xml:space="preserve">. 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תילאווי</w:t>
      </w:r>
      <w:r>
        <w:rPr>
          <w:rtl w:val="true"/>
        </w:rPr>
        <w:t xml:space="preserve">, </w:t>
      </w:r>
      <w:r>
        <w:rPr>
          <w:rtl w:val="true"/>
        </w:rPr>
        <w:t>עמד בטיעוניו על הקשיים הראייתיים שעמדו בבסיס התיקון המהותי בכתב האישום</w:t>
      </w:r>
      <w:r>
        <w:rPr>
          <w:rtl w:val="true"/>
        </w:rPr>
        <w:t xml:space="preserve">, </w:t>
      </w:r>
      <w:r>
        <w:rPr>
          <w:rtl w:val="true"/>
        </w:rPr>
        <w:t>ועל הצמצום המשמעותי בעבירות שיוחסו לו</w:t>
      </w:r>
      <w:r>
        <w:rPr>
          <w:rtl w:val="true"/>
        </w:rPr>
        <w:t xml:space="preserve">, </w:t>
      </w:r>
      <w:r>
        <w:rPr>
          <w:rtl w:val="true"/>
        </w:rPr>
        <w:t>כך שהודה רק בהחזקת נשק אחד במחסן השייך למשפחתו</w:t>
      </w:r>
      <w:r>
        <w:rPr>
          <w:rtl w:val="true"/>
        </w:rPr>
        <w:t xml:space="preserve">, </w:t>
      </w:r>
      <w:r>
        <w:rPr>
          <w:rtl w:val="true"/>
        </w:rPr>
        <w:t>אליו אין לו כלל גישה ישירה</w:t>
      </w:r>
      <w:r>
        <w:rPr>
          <w:rtl w:val="true"/>
        </w:rPr>
        <w:t xml:space="preserve">, </w:t>
      </w:r>
      <w:r>
        <w:rPr>
          <w:rtl w:val="true"/>
        </w:rPr>
        <w:t xml:space="preserve">לטענתו אין המדובר בהחזקה אקטיבית אלא החזקה </w:t>
      </w:r>
      <w:r>
        <w:rPr>
          <w:rtl w:val="true"/>
        </w:rPr>
        <w:t>"</w:t>
      </w:r>
      <w:r>
        <w:rPr>
          <w:rtl w:val="true"/>
        </w:rPr>
        <w:t>בידיעה ובשתיקה</w:t>
      </w:r>
      <w:r>
        <w:rPr>
          <w:rtl w:val="true"/>
        </w:rPr>
        <w:t xml:space="preserve">". </w:t>
      </w:r>
      <w:r>
        <w:rPr>
          <w:rtl w:val="true"/>
        </w:rPr>
        <w:t>עוד טען כי הנאשם שהה במעצר תקופה של כארבעה חודשים</w:t>
      </w:r>
      <w:r>
        <w:rPr>
          <w:rtl w:val="true"/>
        </w:rPr>
        <w:t xml:space="preserve">, </w:t>
      </w:r>
      <w:r>
        <w:rPr>
          <w:rtl w:val="true"/>
        </w:rPr>
        <w:t>ועמד על מידותיו הטובות</w:t>
      </w:r>
      <w:r>
        <w:rPr>
          <w:rtl w:val="true"/>
        </w:rPr>
        <w:t xml:space="preserve">, </w:t>
      </w:r>
      <w:r>
        <w:rPr>
          <w:rtl w:val="true"/>
        </w:rPr>
        <w:t>לרבות היעדר עבר פלילי</w:t>
      </w:r>
      <w:r>
        <w:rPr>
          <w:rtl w:val="true"/>
        </w:rPr>
        <w:t xml:space="preserve">, </w:t>
      </w:r>
      <w:r>
        <w:rPr>
          <w:rtl w:val="true"/>
        </w:rPr>
        <w:t>טיפולו באמו החולה</w:t>
      </w:r>
      <w:r>
        <w:rPr>
          <w:rtl w:val="true"/>
        </w:rPr>
        <w:t xml:space="preserve">, </w:t>
      </w:r>
      <w:r>
        <w:rPr>
          <w:rtl w:val="true"/>
        </w:rPr>
        <w:t>וניהול אורח חיים נורמטיביים</w:t>
      </w:r>
      <w:r>
        <w:rPr>
          <w:rtl w:val="true"/>
        </w:rPr>
        <w:t xml:space="preserve">. </w:t>
      </w:r>
      <w:r>
        <w:rPr>
          <w:rtl w:val="true"/>
        </w:rPr>
        <w:t>בנוסף הדגיש את הודאתו</w:t>
      </w:r>
      <w:r>
        <w:rPr>
          <w:rtl w:val="true"/>
        </w:rPr>
        <w:t xml:space="preserve">, </w:t>
      </w:r>
      <w:r>
        <w:rPr>
          <w:rtl w:val="true"/>
        </w:rPr>
        <w:t>נטילת האחריות והחסכון בזמן שיפוטי</w:t>
      </w:r>
      <w:r>
        <w:rPr>
          <w:rtl w:val="true"/>
        </w:rPr>
        <w:t xml:space="preserve">, </w:t>
      </w:r>
      <w:r>
        <w:rPr>
          <w:rtl w:val="true"/>
        </w:rPr>
        <w:t xml:space="preserve">והוסיף כי העבירה בוצעה עוד בטרם נכנס תיקון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לתוקפו</w:t>
      </w:r>
      <w:r>
        <w:rPr>
          <w:rtl w:val="true"/>
        </w:rPr>
        <w:t xml:space="preserve">, </w:t>
      </w:r>
      <w:r>
        <w:rPr>
          <w:rtl w:val="true"/>
        </w:rPr>
        <w:t>ויש ליתן לכך ביטוי בגזר הדין</w:t>
      </w:r>
      <w:r>
        <w:rPr>
          <w:rtl w:val="true"/>
        </w:rPr>
        <w:t xml:space="preserve">. </w:t>
      </w:r>
      <w:r>
        <w:rPr>
          <w:rtl w:val="true"/>
        </w:rPr>
        <w:t>בנסיבות אלו עתר לקבוע מתחם ברף תחתון של עבודות שירות</w:t>
      </w:r>
      <w:r>
        <w:rPr>
          <w:rtl w:val="true"/>
        </w:rPr>
        <w:t xml:space="preserve">.   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נאטור</w:t>
      </w:r>
      <w:r>
        <w:rPr>
          <w:rtl w:val="true"/>
        </w:rPr>
        <w:t xml:space="preserve">, </w:t>
      </w:r>
      <w:r>
        <w:rPr>
          <w:rtl w:val="true"/>
        </w:rPr>
        <w:t>עמד אף הוא על תיקון כתב האישום משמעותית לקולא ועל כך שלנאשם לא הייתה שליטה ובעלות על הנשק אלא ידע על קיומו</w:t>
      </w:r>
      <w:r>
        <w:rPr>
          <w:rtl w:val="true"/>
        </w:rPr>
        <w:t xml:space="preserve">. </w:t>
      </w:r>
      <w:r>
        <w:rPr>
          <w:rtl w:val="true"/>
        </w:rPr>
        <w:t>על הפער בין החזקת כלי נשק ממש לבין החזקה מכוח ידיעה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מדובר בשטח רחב בו מתגוררים בני משפחה רבים</w:t>
      </w:r>
      <w:r>
        <w:rPr>
          <w:rtl w:val="true"/>
        </w:rPr>
        <w:t xml:space="preserve">. </w:t>
      </w:r>
      <w:r>
        <w:rPr>
          <w:rtl w:val="true"/>
        </w:rPr>
        <w:t>עוד הוסיף כי לאור הנסיבות עמדתה של המאשימה לעבודות שירות הגונה</w:t>
      </w:r>
      <w:r>
        <w:rPr>
          <w:rtl w:val="true"/>
        </w:rPr>
        <w:t xml:space="preserve">, </w:t>
      </w:r>
      <w:r>
        <w:rPr>
          <w:rtl w:val="true"/>
        </w:rPr>
        <w:t>אך היות והיה עצור במעצר ממש כארבעה חודשים וזמן ממושך בתנאים מגבילים</w:t>
      </w:r>
      <w:r>
        <w:rPr>
          <w:rtl w:val="true"/>
        </w:rPr>
        <w:t xml:space="preserve">, </w:t>
      </w:r>
      <w:r>
        <w:rPr>
          <w:rtl w:val="true"/>
        </w:rPr>
        <w:t>עתר למקמו בתחתית המתחם ולהשית עליו עבודות שירות לתקופה קצרה יותר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הנאשמים בדברם האחרון </w:t>
      </w:r>
      <w:r>
        <w:rPr>
          <w:rtl w:val="true"/>
        </w:rPr>
        <w:t>הביעו צער על מעשיהם וביקשו את התחשבות בית המשפט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 והכרעה</w:t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 העונש ההולם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 xml:space="preserve">על ההליך שבפני חלים עקרונות הבניית שיקול הדעת השיפוטי בענישה בהתאם להוראות תיקון </w:t>
      </w:r>
      <w:r>
        <w:rPr>
          <w:rFonts w:eastAsia="Times New Roman" w:cs="Times New Roman" w:ascii="Times New Roman" w:hAnsi="Times New Roman"/>
        </w:rPr>
        <w:t>113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לחוק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פ הוראות אלו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העיקרון המנחה בענישה הינו עקרון ההלימה שפירושו קיומו של יחס הולם בין חומרת מעשה העבירה בנסיבותיו ובמידת אשמו של הנאשם ובין סוג ומידת העונש המוטל עליו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בדרכו של עקרון זה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על בית המשפט לקבוע מתחם עונש הולם למעשה העבירה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תוך שהוא מתחשב בערך החברתי המוגן שנפגע ומידת הפגיעה בו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במדיניות הענישה הנהוגה ובנסיבותיה הקונקרטיות של העבירה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בשלב הבא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לאחר שנקבע מתחם העונש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ובית המשפט לא מצא מקום לחרוג ממנו לקולא או לחומרא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נקבע העונש הראוי תוך התחשבות בנסיבות העושה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60" w:start="720" w:end="0"/>
        <w:contextualSpacing/>
        <w:jc w:val="both"/>
        <w:rPr/>
      </w:pPr>
      <w:r>
        <w:rPr>
          <w:rtl w:val="true"/>
        </w:rPr>
        <w:t xml:space="preserve">רבות </w:t>
      </w:r>
      <w:r>
        <w:rPr>
          <w:rFonts w:ascii="Times New Roman" w:hAnsi="Times New Roman" w:eastAsia="Times New Roman" w:cs="Times New Roman"/>
          <w:rtl w:val="true"/>
        </w:rPr>
        <w:t>נכתב על תופעת עבריינות הנשק שהפכה זה מכבר ל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מכת מדינה</w:t>
      </w:r>
      <w:r>
        <w:rPr>
          <w:rFonts w:eastAsia="Times New Roman" w:cs="Times New Roman" w:ascii="Times New Roman" w:hAnsi="Times New Roman"/>
          <w:rtl w:val="true"/>
        </w:rPr>
        <w:t xml:space="preserve">", </w:t>
      </w:r>
      <w:r>
        <w:rPr>
          <w:rFonts w:ascii="Times New Roman" w:hAnsi="Times New Roman" w:eastAsia="Times New Roman" w:cs="Times New Roman"/>
          <w:rtl w:val="true"/>
        </w:rPr>
        <w:t xml:space="preserve">הפוגעת פגיעה ממשית </w:t>
      </w:r>
      <w:r>
        <w:rPr>
          <w:rtl w:val="true"/>
        </w:rPr>
        <w:t>בערכים המוגנים של שמירה על חיי אדם ושלמות וב</w:t>
      </w:r>
      <w:r>
        <w:rPr>
          <w:rFonts w:ascii="Times New Roman" w:hAnsi="Times New Roman" w:eastAsia="Times New Roman" w:cs="Times New Roman"/>
          <w:rtl w:val="true"/>
        </w:rPr>
        <w:t>תחושת הביטחון של כלל אזרחי המדינה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מגמת הפסיקה בשנים האחרונות נוקשה ועקבית ומלמדת על החמרה בענישת עברייני הנשק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אף כשהם צעירים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נעדרי עבר פלילי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והאירוע הוא בגדר חריג בנוף חייהם הנורמטיבי</w:t>
      </w:r>
      <w:r>
        <w:rPr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תוך מתן משקל לשיקולי הרתעה </w:t>
      </w:r>
      <w:r>
        <w:rPr>
          <w:rtl w:val="true"/>
        </w:rPr>
        <w:t>(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5813/21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 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14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31.5.2022</w:t>
      </w:r>
      <w:r>
        <w:rPr>
          <w:rtl w:val="true"/>
        </w:rPr>
        <w:t xml:space="preserve">);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6011/21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חאלד דסוקי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מדנית ישראל</w:t>
      </w:r>
      <w:r>
        <w:rPr>
          <w:rtl w:val="true"/>
        </w:rPr>
        <w:t xml:space="preserve">  </w:t>
      </w:r>
      <w:r>
        <w:rPr>
          <w:rtl w:val="true"/>
        </w:rPr>
        <w:t>(</w:t>
      </w:r>
      <w:r>
        <w:rPr/>
        <w:t>25.11.2021</w:t>
      </w:r>
      <w:r>
        <w:rPr>
          <w:rtl w:val="true"/>
        </w:rPr>
        <w:t xml:space="preserve">); </w:t>
      </w:r>
      <w:hyperlink r:id="rId11"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</w:rPr>
          <w:t>8320/21</w:t>
        </w:r>
      </w:hyperlink>
      <w:r>
        <w:rPr>
          <w:spacing w:val="1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מדינת ישראל נ</w:t>
      </w:r>
      <w:r>
        <w:rPr>
          <w:b/>
          <w:bCs/>
          <w:spacing w:val="10"/>
          <w:sz w:val="20"/>
          <w:shd w:fill="FFFFFF" w:val="clear"/>
          <w:rtl w:val="true"/>
        </w:rPr>
        <w:t xml:space="preserve">'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מחמד בסילה</w:t>
      </w:r>
      <w:r>
        <w:rPr>
          <w:spacing w:val="10"/>
          <w:sz w:val="20"/>
          <w:shd w:fill="FFFFFF" w:val="clear"/>
          <w:rtl w:val="true"/>
        </w:rPr>
        <w:t xml:space="preserve">, </w:t>
      </w:r>
      <w:r>
        <w:rPr>
          <w:spacing w:val="10"/>
          <w:sz w:val="20"/>
          <w:sz w:val="20"/>
          <w:shd w:fill="FFFFFF" w:val="clear"/>
          <w:rtl w:val="true"/>
        </w:rPr>
        <w:t>פס</w:t>
      </w:r>
      <w:r>
        <w:rPr>
          <w:spacing w:val="10"/>
          <w:sz w:val="20"/>
          <w:shd w:fill="FFFFFF" w:val="clear"/>
          <w:rtl w:val="true"/>
        </w:rPr>
        <w:t xml:space="preserve">' </w:t>
      </w:r>
      <w:r>
        <w:rPr>
          <w:spacing w:val="10"/>
          <w:sz w:val="20"/>
          <w:shd w:fill="FFFFFF" w:val="clear"/>
        </w:rPr>
        <w:t>10</w:t>
      </w:r>
      <w:r>
        <w:rPr>
          <w:spacing w:val="10"/>
          <w:sz w:val="20"/>
          <w:shd w:fill="FFFFFF" w:val="clear"/>
          <w:rtl w:val="true"/>
        </w:rPr>
        <w:t xml:space="preserve"> (</w:t>
      </w:r>
      <w:r>
        <w:rPr>
          <w:spacing w:val="10"/>
          <w:sz w:val="20"/>
          <w:shd w:fill="FFFFFF" w:val="clear"/>
        </w:rPr>
        <w:t>28.12.2021</w:t>
      </w:r>
      <w:r>
        <w:rPr>
          <w:spacing w:val="10"/>
          <w:sz w:val="20"/>
          <w:shd w:fill="FFFFFF" w:val="clear"/>
          <w:rtl w:val="true"/>
        </w:rPr>
        <w:t>)</w:t>
      </w:r>
      <w:r>
        <w:rPr>
          <w:rtl w:val="true"/>
        </w:rPr>
        <w:t xml:space="preserve">;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2283/22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 נבארי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31.7.2022</w:t>
      </w:r>
      <w:r>
        <w:rPr>
          <w:rtl w:val="true"/>
        </w:rPr>
        <w:t xml:space="preserve">);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78/21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26.7.2022</w:t>
      </w:r>
      <w:r>
        <w:rPr>
          <w:rtl w:val="true"/>
        </w:rPr>
        <w:t xml:space="preserve">); </w:t>
      </w:r>
      <w:hyperlink r:id="rId14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116/13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וקנין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 (</w:t>
      </w:r>
      <w:r>
        <w:rPr/>
        <w:t>31.7.2013</w:t>
      </w:r>
      <w:r>
        <w:rPr>
          <w:rtl w:val="true"/>
        </w:rPr>
        <w:t xml:space="preserve">)).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בחקיקה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שככלל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.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57" w:start="714" w:end="0"/>
        <w:contextualSpacing/>
        <w:jc w:val="both"/>
        <w:textAlignment w:val="baseline"/>
        <w:rPr>
          <w:rFonts w:ascii="Times New Roman" w:hAnsi="Times New Roman" w:eastAsia="Times New Roman" w:cs="Times New Roman"/>
        </w:rPr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החזיק אקדח ושלוש מחסניות תואמות</w:t>
      </w:r>
      <w:r>
        <w:rPr>
          <w:rtl w:val="true"/>
        </w:rPr>
        <w:t xml:space="preserve">, </w:t>
      </w:r>
      <w:r>
        <w:rPr>
          <w:rtl w:val="true"/>
        </w:rPr>
        <w:t>שהוטמנו בשקית בשטח משותף השייך למשפחתם המורחבת</w:t>
      </w:r>
      <w:r>
        <w:rPr>
          <w:rtl w:val="true"/>
        </w:rPr>
        <w:t xml:space="preserve">. </w:t>
      </w:r>
      <w:r>
        <w:rPr>
          <w:rtl w:val="true"/>
        </w:rPr>
        <w:t xml:space="preserve">במקום אחר החזיק מחסנית של רובה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ותופס מחסנית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סייע לו בכך</w:t>
      </w:r>
      <w:r>
        <w:rPr>
          <w:rtl w:val="true"/>
        </w:rPr>
        <w:t xml:space="preserve">. </w:t>
      </w:r>
      <w:r>
        <w:rPr>
          <w:rtl w:val="true"/>
        </w:rPr>
        <w:t>הרקע למעשים נותר עמום</w:t>
      </w:r>
      <w:r>
        <w:rPr>
          <w:rtl w:val="true"/>
        </w:rPr>
        <w:t xml:space="preserve">, </w:t>
      </w:r>
      <w:r>
        <w:rPr>
          <w:rtl w:val="true"/>
        </w:rPr>
        <w:t xml:space="preserve">לטענת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הנשק לא שייך לו</w:t>
      </w:r>
      <w:r>
        <w:rPr>
          <w:rtl w:val="true"/>
        </w:rPr>
        <w:t xml:space="preserve">, </w:t>
      </w:r>
      <w:r>
        <w:rPr>
          <w:rtl w:val="true"/>
        </w:rPr>
        <w:t>לדבריו ידע על הנשק והתחמושת שהוחבאו במתחם בו מתגוררת משפחתו המורחבת</w:t>
      </w:r>
      <w:r>
        <w:rPr>
          <w:rtl w:val="true"/>
        </w:rPr>
        <w:t xml:space="preserve">,  </w:t>
      </w:r>
      <w:r>
        <w:rPr>
          <w:rtl w:val="true"/>
        </w:rPr>
        <w:t>על רקע סכסוכים עם אחרים ונמנע מלדווח לרשויות</w:t>
      </w:r>
      <w:r>
        <w:rPr>
          <w:rtl w:val="true"/>
        </w:rPr>
        <w:t xml:space="preserve">. </w:t>
      </w:r>
      <w:r>
        <w:rPr>
          <w:rFonts w:ascii="Calibri" w:hAnsi="Calibri"/>
          <w:rtl w:val="true"/>
        </w:rPr>
        <w:t>משך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הזמן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שהוחזק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הנשק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אינו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ידוע</w:t>
      </w:r>
      <w:r>
        <w:rPr>
          <w:rFonts w:ascii="Calibri" w:hAnsi="Calibri"/>
          <w:rtl w:val="true"/>
        </w:rPr>
        <w:t xml:space="preserve">,  </w:t>
      </w:r>
      <w:r>
        <w:rPr>
          <w:rFonts w:ascii="Calibri" w:hAnsi="Calibri"/>
          <w:rtl w:val="true"/>
        </w:rPr>
        <w:t>ולא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נטען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לאינדיקציה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לשימוש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למטרה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פלילית</w:t>
      </w:r>
      <w:r>
        <w:rPr>
          <w:rFonts w:ascii="Calibri" w:hAnsi="Calibri"/>
          <w:rtl w:val="true"/>
        </w:rPr>
        <w:t xml:space="preserve">. </w:t>
      </w:r>
      <w:r>
        <w:rPr>
          <w:rFonts w:ascii="Calibri" w:hAnsi="Calibri"/>
          <w:rtl w:val="true"/>
        </w:rPr>
        <w:t>הנשק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הוחזק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במקום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נגיש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ומוכן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לשימוש</w:t>
      </w:r>
      <w:r>
        <w:rPr>
          <w:rFonts w:ascii="Calibri" w:hAnsi="Calibri"/>
          <w:rtl w:val="true"/>
        </w:rPr>
        <w:t xml:space="preserve">. </w:t>
      </w:r>
      <w:r>
        <w:rPr>
          <w:rFonts w:ascii="Calibri" w:hAnsi="Calibri"/>
          <w:rtl w:val="true"/>
        </w:rPr>
        <w:t>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לנאשם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</w:rPr>
        <w:t>2</w:t>
      </w:r>
      <w:r>
        <w:rPr>
          <w:rFonts w:ascii="Calibri" w:hAnsi="Calibri"/>
          <w:rtl w:val="true"/>
        </w:rPr>
        <w:t xml:space="preserve">, </w:t>
      </w:r>
      <w:r>
        <w:rPr>
          <w:rFonts w:ascii="Calibri" w:hAnsi="Calibri"/>
          <w:rtl w:val="true"/>
        </w:rPr>
        <w:t>תרומתו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לביצוע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החזקת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הנשק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הובהרה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בכתב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האישום</w:t>
      </w:r>
      <w:r>
        <w:rPr>
          <w:rFonts w:ascii="Calibri" w:hAnsi="Calibri"/>
          <w:rtl w:val="true"/>
        </w:rPr>
        <w:t xml:space="preserve">, </w:t>
      </w:r>
      <w:r>
        <w:rPr>
          <w:rFonts w:ascii="Calibri" w:hAnsi="Calibri"/>
          <w:rtl w:val="true"/>
        </w:rPr>
        <w:t>אלא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היה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מודע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להחזקתו</w:t>
      </w:r>
      <w:r>
        <w:rPr>
          <w:rFonts w:ascii="Calibri" w:hAnsi="Calibri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60" w:start="720" w:end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rtl w:val="true"/>
        </w:rPr>
        <w:t xml:space="preserve">בחינת מידת פגיעת מעשי הנאשם </w:t>
      </w:r>
      <w:r>
        <w:rPr>
          <w:rFonts w:eastAsia="Times New Roman" w:cs="Times New Roman" w:ascii="Times New Roman" w:hAnsi="Times New Roman"/>
        </w:rPr>
        <w:t>1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בערך המוגן מובילה למסקנה כי הפגיעה היא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ברף הנמוך</w:t>
      </w:r>
      <w:r>
        <w:rPr>
          <w:rFonts w:eastAsia="Times New Roman" w:cs="Times New Roman" w:ascii="Times New Roman" w:hAnsi="Times New Roman"/>
          <w:b/>
          <w:bCs/>
          <w:rtl w:val="true"/>
        </w:rPr>
        <w:t>-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בינוני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מידת פגיעת מעשי נאשם </w:t>
      </w:r>
      <w:r>
        <w:rPr>
          <w:rFonts w:eastAsia="Times New Roman" w:cs="Times New Roman" w:ascii="Times New Roman" w:hAnsi="Times New Roman"/>
        </w:rPr>
        <w:t>2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בערך המוגן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היא ברף נמוך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</w:r>
    </w:p>
    <w:p>
      <w:pPr>
        <w:pStyle w:val="ListParagraph"/>
        <w:spacing w:lineRule="auto" w:line="360" w:before="0" w:after="120"/>
        <w:ind w:end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>מדיניות הענישה הנוהגת</w:t>
      </w:r>
    </w:p>
    <w:p>
      <w:pPr>
        <w:pStyle w:val="Ruller41"/>
        <w:numPr>
          <w:ilvl w:val="0"/>
          <w:numId w:val="2"/>
        </w:numPr>
        <w:spacing w:before="0" w:after="160"/>
        <w:ind w:hanging="360"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דרך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הכלל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דינם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מחזיקי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הנשק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כאשר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מדובר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בנאשמים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צעירים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ונטולי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עבר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פלילי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למאסר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בפועל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לתקופות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קצרות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הפסיקה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הבהירה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הצורך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בהחמרת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אף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כשנסיבות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ביצוע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עמומות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כך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נקבע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</w:t>
      </w:r>
      <w:hyperlink r:id="rId15">
        <w:r>
          <w:rPr>
            <w:rStyle w:val="Hyperlink"/>
            <w:rFonts w:ascii="Times New Roman" w:hAnsi="Times New Roman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Times New Roman" w:hAnsi="Times New Roman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eastAsia="Times New Roman" w:cs="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pacing w:val="0"/>
            <w:sz w:val="24"/>
            <w:szCs w:val="24"/>
            <w:u w:val="single"/>
          </w:rPr>
          <w:t>2101/21</w:t>
        </w:r>
      </w:hyperlink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טוביה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פסקה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</w:rPr>
        <w:t>2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(</w:t>
      </w:r>
      <w:r>
        <w:rPr>
          <w:rFonts w:cs="David" w:ascii="Times New Roman" w:hAnsi="Times New Roman"/>
          <w:spacing w:val="0"/>
          <w:sz w:val="24"/>
          <w:szCs w:val="24"/>
        </w:rPr>
        <w:t>29.7.21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): "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להחמיר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בענ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ישה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בגין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עבירות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בנשק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ש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"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יעדו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הסופי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"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אינו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נהיר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לצערנו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בשנים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האחרונות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מורגשת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עלייה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בעבירות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נשק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והחברה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משלמת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כך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מחיר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כבד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במחיר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זה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נושאים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יותר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ויותר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אזרחים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נורמטיביים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שאינם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מעורבים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בעולם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העברייני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בכלל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ובעולם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הנשק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בפרט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ההיקף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הגדול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עבירות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הנשק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הופך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המרחב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הציבורי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למקום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מסוכן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יותר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ובטוח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פחות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".</w:t>
      </w:r>
      <w:r>
        <w:rPr>
          <w:rFonts w:ascii="Calibri" w:hAnsi="Calibri"/>
          <w:rtl w:val="true"/>
        </w:rPr>
        <w:t xml:space="preserve"> </w:t>
      </w:r>
      <w:r>
        <w:rPr>
          <w:rFonts w:ascii="Calibri" w:hAnsi="Calibri"/>
          <w:b/>
          <w:bCs/>
          <w:rtl w:val="true"/>
        </w:rPr>
        <w:t xml:space="preserve"> </w:t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2482/22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קדורה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14.4.2022</w:t>
      </w:r>
      <w:r>
        <w:rPr>
          <w:rtl w:val="true"/>
        </w:rPr>
        <w:t xml:space="preserve">), </w:t>
      </w:r>
      <w:r>
        <w:rPr>
          <w:rtl w:val="true"/>
        </w:rPr>
        <w:t>הורשע נאשם</w:t>
      </w:r>
      <w:r>
        <w:rPr>
          <w:rtl w:val="true"/>
        </w:rPr>
        <w:t xml:space="preserve">, </w:t>
      </w:r>
      <w:r>
        <w:rPr>
          <w:rtl w:val="true"/>
        </w:rPr>
        <w:t xml:space="preserve">עבירת החזקת נשק בצוותא עם אחר – אקדח </w:t>
      </w:r>
      <w:r>
        <w:rPr>
          <w:rtl w:val="true"/>
        </w:rPr>
        <w:t>"</w:t>
      </w:r>
      <w:r>
        <w:rPr>
          <w:rtl w:val="true"/>
        </w:rPr>
        <w:t>גלוק</w:t>
      </w:r>
      <w:r>
        <w:rPr>
          <w:rtl w:val="true"/>
        </w:rPr>
        <w:t xml:space="preserve">", </w:t>
      </w:r>
      <w:r>
        <w:rPr>
          <w:rtl w:val="true"/>
        </w:rPr>
        <w:t>מחסנית</w:t>
      </w:r>
      <w:r>
        <w:rPr>
          <w:rtl w:val="true"/>
        </w:rPr>
        <w:t xml:space="preserve">, </w:t>
      </w:r>
      <w:r>
        <w:rPr>
          <w:rtl w:val="true"/>
        </w:rPr>
        <w:t>כדורים ורימון הלם אותם החזיק בביתו לתקופה קצרה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קבע מתחם עונש הנע בין </w:t>
      </w:r>
      <w:r>
        <w:rPr/>
        <w:t>36-10</w:t>
      </w:r>
      <w:r>
        <w:rPr>
          <w:rtl w:val="true"/>
        </w:rPr>
        <w:t xml:space="preserve"> </w:t>
      </w:r>
      <w:r>
        <w:rPr>
          <w:rtl w:val="true"/>
        </w:rPr>
        <w:t>חודשי מאסר וגזר על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וללא הרשעות קודמות</w:t>
      </w:r>
      <w:r>
        <w:rPr>
          <w:rtl w:val="true"/>
        </w:rPr>
        <w:t xml:space="preserve">,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בית המשפט העליון קיבל את ערעור המדינה והחמיר עונשו 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וקבע בבירור כי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אם מחזיקים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למאסר נשלחים</w:t>
      </w:r>
      <w:r>
        <w:rPr>
          <w:rtl w:val="true"/>
        </w:rPr>
        <w:t>" 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 עמית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6</w:t>
      </w:r>
      <w:r>
        <w:rPr>
          <w:rtl w:val="true"/>
        </w:rPr>
        <w:t>);</w:t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</w:t>
      </w:r>
      <w:hyperlink r:id="rId17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רע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6265/20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אלקיעאן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מדינת ישראל </w:t>
      </w:r>
      <w:r>
        <w:rPr>
          <w:rFonts w:eastAsia="Times New Roman" w:cs="Times New Roman" w:ascii="Times New Roman" w:hAnsi="Times New Roman"/>
          <w:b/>
          <w:bCs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 xml:space="preserve">מיום </w:t>
      </w:r>
      <w:r>
        <w:rPr>
          <w:rFonts w:eastAsia="Times New Roman" w:cs="Times New Roman" w:ascii="Times New Roman" w:hAnsi="Times New Roman"/>
        </w:rPr>
        <w:t>15.9.2020</w:t>
      </w:r>
      <w:r>
        <w:rPr>
          <w:rFonts w:eastAsia="Times New Roman"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eastAsia="Times New Roman" w:cs="Times New Roman"/>
          <w:rtl w:val="true"/>
        </w:rPr>
        <w:t>הורשע 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לאחר ניהול הוכחות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בכך שהחזיק אקדח ומחסנית ברכבו ונדון למאסר בן </w:t>
      </w:r>
      <w:r>
        <w:rPr>
          <w:rFonts w:eastAsia="Times New Roman" w:cs="Times New Roman" w:ascii="Times New Roman" w:hAnsi="Times New Roman"/>
        </w:rPr>
        <w:t>15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בית המשפט המחוזי התחשב בעברו הנקי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בנסיבותיו החיוביות ובהתרשמות שירות המבחן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קיבל את ערעורו בחלקו והעמיד עונשו על </w:t>
      </w:r>
      <w:r>
        <w:rPr>
          <w:rFonts w:eastAsia="Times New Roman" w:cs="Times New Roman" w:ascii="Times New Roman" w:hAnsi="Times New Roman"/>
        </w:rPr>
        <w:t>12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 מאסר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בקשת ר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ע שהוגשה לבית המשפט העליון נדחתה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כב</w:t>
      </w:r>
      <w:r>
        <w:rPr>
          <w:rFonts w:eastAsia="Times New Roman"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eastAsia="Times New Roman" w:cs="Times New Roman"/>
          <w:rtl w:val="true"/>
        </w:rPr>
        <w:t>השופט קרא קבע בהחלטתו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כי  </w:t>
      </w:r>
      <w:r>
        <w:rPr>
          <w:color w:val="000000"/>
          <w:spacing w:val="10"/>
          <w:rtl w:val="true"/>
        </w:rPr>
        <w:t>"</w:t>
      </w:r>
      <w:r>
        <w:rPr>
          <w:b/>
          <w:b/>
          <w:bCs/>
          <w:color w:val="000000"/>
          <w:spacing w:val="10"/>
          <w:rtl w:val="true"/>
        </w:rPr>
        <w:t>עבירה של החזקת נשק</w:t>
      </w:r>
      <w:r>
        <w:rPr>
          <w:b/>
          <w:bCs/>
          <w:color w:val="000000"/>
          <w:spacing w:val="10"/>
          <w:rtl w:val="true"/>
        </w:rPr>
        <w:t xml:space="preserve">, </w:t>
      </w:r>
      <w:r>
        <w:rPr>
          <w:b/>
          <w:b/>
          <w:bCs/>
          <w:color w:val="000000"/>
          <w:spacing w:val="10"/>
          <w:rtl w:val="true"/>
        </w:rPr>
        <w:t>בה הורשע המבקש</w:t>
      </w:r>
      <w:r>
        <w:rPr>
          <w:b/>
          <w:bCs/>
          <w:color w:val="000000"/>
          <w:spacing w:val="10"/>
          <w:rtl w:val="true"/>
        </w:rPr>
        <w:t xml:space="preserve">, </w:t>
      </w:r>
      <w:r>
        <w:rPr>
          <w:b/>
          <w:b/>
          <w:bCs/>
          <w:color w:val="000000"/>
          <w:spacing w:val="10"/>
          <w:rtl w:val="true"/>
        </w:rPr>
        <w:t>הינה עבירה חמורה המצדיקה ענישה במאסר מאחורי סורג ובריח ולא בדרך של עבודות שירות</w:t>
      </w:r>
      <w:r>
        <w:rPr>
          <w:b/>
          <w:bCs/>
          <w:color w:val="000000"/>
          <w:spacing w:val="10"/>
          <w:rtl w:val="true"/>
        </w:rPr>
        <w:t xml:space="preserve">, </w:t>
      </w:r>
      <w:r>
        <w:rPr>
          <w:b/>
          <w:b/>
          <w:bCs/>
          <w:color w:val="000000"/>
          <w:spacing w:val="10"/>
          <w:rtl w:val="true"/>
        </w:rPr>
        <w:t>כאמירה ערכית</w:t>
      </w:r>
      <w:r>
        <w:rPr>
          <w:b/>
          <w:bCs/>
          <w:color w:val="000000"/>
          <w:spacing w:val="10"/>
          <w:rtl w:val="true"/>
        </w:rPr>
        <w:t xml:space="preserve">, </w:t>
      </w:r>
      <w:r>
        <w:rPr>
          <w:b/>
          <w:b/>
          <w:bCs/>
          <w:color w:val="000000"/>
          <w:spacing w:val="10"/>
          <w:rtl w:val="true"/>
        </w:rPr>
        <w:t>וביתר שאת לאור הקלות הבלתי נסבלת של השגת נשק והחזקתו</w:t>
      </w:r>
      <w:r>
        <w:rPr>
          <w:b/>
          <w:bCs/>
          <w:color w:val="000000"/>
          <w:spacing w:val="10"/>
          <w:rtl w:val="true"/>
        </w:rPr>
        <w:t xml:space="preserve">, </w:t>
      </w:r>
      <w:r>
        <w:rPr>
          <w:b/>
          <w:b/>
          <w:bCs/>
          <w:color w:val="000000"/>
          <w:spacing w:val="10"/>
          <w:rtl w:val="true"/>
        </w:rPr>
        <w:t>על כל הכרוך בשימוש בו</w:t>
      </w:r>
      <w:r>
        <w:rPr>
          <w:color w:val="000000"/>
          <w:spacing w:val="10"/>
          <w:rtl w:val="true"/>
        </w:rPr>
        <w:t xml:space="preserve">"; 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</w:t>
      </w:r>
      <w:hyperlink r:id="rId18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8320/21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בסילה</w:t>
      </w:r>
      <w:r>
        <w:rPr>
          <w:rFonts w:ascii="Times New Roman" w:hAnsi="Times New Roman" w:eastAsia="Times New Roman" w:cs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 xml:space="preserve">מיום </w:t>
      </w:r>
      <w:r>
        <w:rPr>
          <w:rFonts w:eastAsia="Times New Roman" w:cs="Times New Roman" w:ascii="Times New Roman" w:hAnsi="Times New Roman"/>
        </w:rPr>
        <w:t>28.12.2021</w:t>
      </w:r>
      <w:r>
        <w:rPr>
          <w:rFonts w:eastAsia="Times New Roman" w:cs="Times New Roman" w:ascii="Times New Roman" w:hAnsi="Times New Roman"/>
          <w:rtl w:val="true"/>
        </w:rPr>
        <w:t xml:space="preserve"> )-  </w:t>
      </w:r>
      <w:r>
        <w:rPr>
          <w:rFonts w:ascii="Times New Roman" w:hAnsi="Times New Roman" w:eastAsia="Times New Roman" w:cs="Times New Roman"/>
          <w:rtl w:val="true"/>
        </w:rPr>
        <w:t xml:space="preserve">הנאשם הורשע בכך שהחזיק רובה סער דמוי </w:t>
      </w:r>
      <w:r>
        <w:rPr>
          <w:rFonts w:eastAsia="Times New Roman" w:cs="Times New Roman" w:ascii="Times New Roman" w:hAnsi="Times New Roman"/>
        </w:rPr>
        <w:t>M-16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בביתו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נסיבותיו חיוביות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שירות המבחן המליץ להסתפק בעבודות שירות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בית המשפט המחוזי קבע מתחם ענישה שנע בין </w:t>
      </w:r>
      <w:r>
        <w:rPr>
          <w:rFonts w:eastAsia="Times New Roman" w:cs="Times New Roman" w:ascii="Times New Roman" w:hAnsi="Times New Roman"/>
        </w:rPr>
        <w:t>6-24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חודשי מאסר וגזר עליו </w:t>
      </w:r>
      <w:r>
        <w:rPr>
          <w:rFonts w:eastAsia="Times New Roman" w:cs="Times New Roman" w:ascii="Times New Roman" w:hAnsi="Times New Roman"/>
        </w:rPr>
        <w:t>7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 מאסר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ערעור המדינה על קולת העונש התקבל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בית המשפט העליון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>כב</w:t>
      </w:r>
      <w:r>
        <w:rPr>
          <w:rFonts w:eastAsia="Times New Roman"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eastAsia="Times New Roman" w:cs="Times New Roman"/>
          <w:rtl w:val="true"/>
        </w:rPr>
        <w:t>השופט סולברג</w:t>
      </w:r>
      <w:r>
        <w:rPr>
          <w:rFonts w:eastAsia="Times New Roman"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eastAsia="Times New Roman" w:cs="Times New Roman"/>
          <w:rtl w:val="true"/>
        </w:rPr>
        <w:t>פסק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המתחם שנקבע והעונש שהוטל מקל עם הנאשם יתר על המידה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זאת גם בהתחשב בנסיבותיו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עונשו הוכפל והועמד על </w:t>
      </w:r>
      <w:r>
        <w:rPr>
          <w:rFonts w:eastAsia="Times New Roman" w:cs="Times New Roman" w:ascii="Times New Roman" w:hAnsi="Times New Roman"/>
        </w:rPr>
        <w:t>14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 מאסר</w:t>
      </w:r>
      <w:r>
        <w:rPr>
          <w:rFonts w:eastAsia="Times New Roman" w:cs="Times New Roman" w:ascii="Times New Roman" w:hAnsi="Times New Roman"/>
          <w:rtl w:val="true"/>
        </w:rPr>
        <w:t xml:space="preserve">; </w:t>
      </w:r>
    </w:p>
    <w:p>
      <w:pPr>
        <w:pStyle w:val="ListParagraph"/>
        <w:ind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</w:t>
      </w:r>
      <w:hyperlink r:id="rId19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1826/19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אבו עסא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מדינת ישראל</w:t>
      </w:r>
      <w:r>
        <w:rPr>
          <w:rFonts w:ascii="Times New Roman" w:hAnsi="Times New Roman" w:eastAsia="Times New Roman" w:cs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 xml:space="preserve">מיום </w:t>
      </w:r>
      <w:r>
        <w:rPr>
          <w:rFonts w:eastAsia="Times New Roman" w:cs="Times New Roman" w:ascii="Times New Roman" w:hAnsi="Times New Roman"/>
        </w:rPr>
        <w:t>11.7.2019</w:t>
      </w:r>
      <w:r>
        <w:rPr>
          <w:rFonts w:eastAsia="Times New Roman"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eastAsia="Times New Roman" w:cs="Times New Roman"/>
          <w:rtl w:val="true"/>
        </w:rPr>
        <w:t>נדחה ערעורו של 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שהורשע בהחזקת נשק אוטומטי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בית המשפט קבע מתחם עונשי שנע בין </w:t>
      </w:r>
      <w:r>
        <w:rPr>
          <w:rFonts w:eastAsia="Times New Roman" w:cs="Times New Roman" w:ascii="Times New Roman" w:hAnsi="Times New Roman"/>
        </w:rPr>
        <w:t>15-36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 מאסר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על 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צעיר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ללא עבר בעל סיכויי שיקום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נגזרו </w:t>
      </w:r>
      <w:r>
        <w:rPr>
          <w:rFonts w:eastAsia="Times New Roman" w:cs="Times New Roman" w:ascii="Times New Roman" w:hAnsi="Times New Roman"/>
        </w:rPr>
        <w:t>18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 מאסר</w:t>
      </w:r>
      <w:r>
        <w:rPr>
          <w:rFonts w:eastAsia="Times New Roman" w:cs="Times New Roman" w:ascii="Times New Roman" w:hAnsi="Times New Roman"/>
          <w:rtl w:val="true"/>
        </w:rPr>
        <w:t>;</w:t>
      </w:r>
    </w:p>
    <w:p>
      <w:pPr>
        <w:pStyle w:val="ListParagraph"/>
        <w:ind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</w:t>
      </w:r>
      <w:hyperlink r:id="rId20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רע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5613/20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אלהוזייל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מדינת ישראל</w:t>
      </w:r>
      <w:r>
        <w:rPr>
          <w:rFonts w:ascii="Times New Roman" w:hAnsi="Times New Roman" w:eastAsia="Times New Roman" w:cs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 xml:space="preserve">מיום </w:t>
      </w:r>
      <w:r>
        <w:rPr>
          <w:rFonts w:eastAsia="Times New Roman" w:cs="Times New Roman" w:ascii="Times New Roman" w:hAnsi="Times New Roman"/>
        </w:rPr>
        <w:t>25.8.2020</w:t>
      </w:r>
      <w:r>
        <w:rPr>
          <w:rFonts w:eastAsia="Times New Roman"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eastAsia="Times New Roman" w:cs="Times New Roman"/>
          <w:rtl w:val="true"/>
        </w:rPr>
        <w:t>הנאשם הורשע בהחזקת אקדח ותחמושת מתאימה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הנאשם בעל עבר פלילי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נסיבותיו האישיות קשות ושירות המבחן המליץ לגזור עליו עבודות שירות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בית משפט השלום קבע מתחם עונשי שנע בין </w:t>
      </w:r>
      <w:r>
        <w:rPr>
          <w:rFonts w:eastAsia="Times New Roman" w:cs="Times New Roman" w:ascii="Times New Roman" w:hAnsi="Times New Roman"/>
        </w:rPr>
        <w:t>11-33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 מאסר וגזר עליו שנת מאסר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ערעור ור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ע שהגיש</w:t>
      </w:r>
      <w:r>
        <w:rPr>
          <w:rFonts w:eastAsia="Times New Roman" w:cs="Times New Roman" w:ascii="Times New Roman" w:hAnsi="Times New Roman"/>
          <w:rtl w:val="true"/>
        </w:rPr>
        <w:t xml:space="preserve">- </w:t>
      </w:r>
      <w:r>
        <w:rPr>
          <w:rFonts w:ascii="Times New Roman" w:hAnsi="Times New Roman" w:eastAsia="Times New Roman" w:cs="Times New Roman"/>
          <w:rtl w:val="true"/>
        </w:rPr>
        <w:t>נדחו</w:t>
      </w:r>
      <w:r>
        <w:rPr>
          <w:rFonts w:eastAsia="Times New Roman" w:cs="Times New Roman" w:ascii="Times New Roman" w:hAnsi="Times New Roman"/>
          <w:rtl w:val="true"/>
        </w:rPr>
        <w:t xml:space="preserve">; </w:t>
      </w:r>
    </w:p>
    <w:p>
      <w:pPr>
        <w:pStyle w:val="ListParagraph"/>
        <w:ind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מרכז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22588-03-22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גבאלי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גזר דיני מיום </w:t>
      </w:r>
      <w:r>
        <w:rPr>
          <w:rFonts w:cs="Arial" w:ascii="Arial" w:hAnsi="Arial"/>
        </w:rPr>
        <w:t>30.4.2023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הורשע הנאשם בעבירת החזקת רובה סער קלאצ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ניקוב ומחסנית תואמת בשטח הסמוך למתחם </w:t>
      </w:r>
      <w:r>
        <w:rPr>
          <w:rtl w:val="true"/>
        </w:rPr>
        <w:t>שבבעלות משפחתו</w:t>
      </w:r>
      <w:r>
        <w:rPr>
          <w:rtl w:val="true"/>
        </w:rPr>
        <w:t xml:space="preserve">. </w:t>
      </w:r>
      <w:r>
        <w:rPr>
          <w:rtl w:val="true"/>
        </w:rPr>
        <w:t xml:space="preserve">קבעתי מתחם ענישה הנע בין </w:t>
      </w:r>
      <w:r>
        <w:rPr/>
        <w:t>30-15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בהתחשב בגילו הצעיר</w:t>
      </w:r>
      <w:r>
        <w:rPr>
          <w:rtl w:val="true"/>
        </w:rPr>
        <w:t xml:space="preserve">, </w:t>
      </w:r>
      <w:r>
        <w:rPr>
          <w:rtl w:val="true"/>
        </w:rPr>
        <w:t xml:space="preserve">עברו הנקי ותסקירו החיובי נדון למאסר בן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  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מרכז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42197-05-22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אטון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גזר דיני מיום </w:t>
      </w:r>
      <w:r>
        <w:rPr>
          <w:rFonts w:cs="Arial" w:ascii="Arial" w:hAnsi="Arial"/>
        </w:rPr>
        <w:t>15.9.22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הורשע נאשם בהחזקת אקדח טעון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מוסלק מתחת למכולה בשטח המשק בו התגורר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קבעתי מתחם ענישה הנע בין </w:t>
      </w:r>
      <w:r>
        <w:rPr>
          <w:rFonts w:cs="Arial" w:ascii="Arial" w:hAnsi="Arial"/>
        </w:rPr>
        <w:t>30-14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בהתחשב בעברו הפלילי הישן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חלוף הזמן ומנגד הודאתו המהירה וייעול ההליך המשפטי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גזרתי דינו למאסר בן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>. (</w:t>
      </w:r>
      <w:r>
        <w:rPr>
          <w:rFonts w:ascii="Arial" w:hAnsi="Arial" w:cs="Arial"/>
          <w:rtl w:val="true"/>
        </w:rPr>
        <w:t xml:space="preserve">עוד ראו 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42106-01-22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וחידי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גזר דיני מיום </w:t>
      </w:r>
      <w:r>
        <w:rPr>
          <w:rFonts w:cs="Arial" w:ascii="Arial" w:hAnsi="Arial"/>
        </w:rPr>
        <w:t>13.2.23</w:t>
      </w:r>
      <w:r>
        <w:rPr>
          <w:rFonts w:cs="Arial" w:ascii="Arial" w:hAnsi="Arial"/>
          <w:rtl w:val="true"/>
        </w:rPr>
        <w:t xml:space="preserve">)). 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hanging="360" w:start="720" w:end="0"/>
        <w:contextualSpacing/>
        <w:jc w:val="both"/>
        <w:rPr/>
      </w:pPr>
      <w:r>
        <w:rPr>
          <w:rtl w:val="true"/>
        </w:rPr>
        <w:t>עיינתי באסופת הפסיקה שהגישה ההגנה</w:t>
      </w:r>
      <w:r>
        <w:rPr>
          <w:rtl w:val="true"/>
        </w:rPr>
        <w:t xml:space="preserve">, </w:t>
      </w:r>
      <w:r>
        <w:rPr>
          <w:rtl w:val="true"/>
        </w:rPr>
        <w:t xml:space="preserve">חלקה ישנה ואינה משקפת את מגמת ההחמרה בענישה בעבירות הנשק כיום </w:t>
      </w:r>
      <w:r>
        <w:rPr>
          <w:rtl w:val="true"/>
        </w:rPr>
        <w:t>(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1505/14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לידאוי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 xml:space="preserve">מיום </w:t>
      </w:r>
      <w:r>
        <w:rPr/>
        <w:t>4.11.14</w:t>
      </w:r>
      <w:r>
        <w:rPr>
          <w:rtl w:val="true"/>
        </w:rPr>
        <w:t xml:space="preserve">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7139/12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גורנו ליאור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מיום</w:t>
      </w:r>
      <w:r>
        <w:rPr>
          <w:b/>
          <w:b/>
          <w:bCs/>
          <w:rtl w:val="true"/>
        </w:rPr>
        <w:t xml:space="preserve"> </w:t>
      </w:r>
      <w:r>
        <w:rPr/>
        <w:t>7.3.13</w:t>
      </w:r>
      <w:r>
        <w:rPr>
          <w:rtl w:val="true"/>
        </w:rPr>
        <w:t xml:space="preserve">), </w:t>
      </w:r>
      <w:r>
        <w:rPr>
          <w:rtl w:val="true"/>
        </w:rPr>
        <w:t>ביתר פסקי הדין הושתו עונשים מקלים על נאשמים צעירים</w:t>
      </w:r>
      <w:r>
        <w:rPr>
          <w:rtl w:val="true"/>
        </w:rPr>
        <w:t xml:space="preserve">, </w:t>
      </w:r>
      <w:r>
        <w:rPr>
          <w:rtl w:val="true"/>
        </w:rPr>
        <w:t>ללא עבר</w:t>
      </w:r>
      <w:r>
        <w:rPr>
          <w:rtl w:val="true"/>
        </w:rPr>
        <w:t xml:space="preserve">, </w:t>
      </w:r>
      <w:r>
        <w:rPr>
          <w:rtl w:val="true"/>
        </w:rPr>
        <w:t xml:space="preserve">שהתקבלו בעניינם תסקירים חיוביים הבאים בהמלצה שיקומית </w:t>
      </w:r>
      <w:r>
        <w:rPr>
          <w:rtl w:val="true"/>
        </w:rPr>
        <w:t>(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6332/22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פדידה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; 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29529-07-20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בכריה </w:t>
      </w:r>
      <w:r>
        <w:rPr>
          <w:rtl w:val="true"/>
        </w:rPr>
        <w:t xml:space="preserve">מיום </w:t>
      </w:r>
      <w:r>
        <w:rPr/>
        <w:t>4.2.21</w:t>
      </w:r>
      <w:r>
        <w:rPr>
          <w:rtl w:val="true"/>
        </w:rPr>
        <w:t xml:space="preserve">; </w:t>
      </w:r>
      <w:hyperlink r:id="rId2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54432-02-17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עיסא </w:t>
      </w:r>
      <w:r>
        <w:rPr>
          <w:rtl w:val="true"/>
        </w:rPr>
        <w:t xml:space="preserve">מיום </w:t>
      </w:r>
      <w:r>
        <w:rPr/>
        <w:t>23.11.17</w:t>
      </w:r>
      <w:r>
        <w:rPr>
          <w:rtl w:val="true"/>
        </w:rPr>
        <w:t xml:space="preserve">, </w:t>
      </w:r>
      <w:r>
        <w:rPr>
          <w:rtl w:val="true"/>
        </w:rPr>
        <w:t>בגזר דין זה ניתן משקל לא מבוטל למצבו הנפשי המורכב</w:t>
      </w:r>
      <w:r>
        <w:rPr>
          <w:rtl w:val="true"/>
        </w:rPr>
        <w:t xml:space="preserve">). </w:t>
      </w:r>
    </w:p>
    <w:p>
      <w:pPr>
        <w:pStyle w:val="ListParagraph"/>
        <w:spacing w:lineRule="auto" w:line="360" w:before="24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ListNumber"/>
        <w:numPr>
          <w:ilvl w:val="0"/>
          <w:numId w:val="2"/>
        </w:numPr>
        <w:tabs>
          <w:tab w:val="left" w:pos="720" w:leader="none"/>
        </w:tabs>
        <w:spacing w:before="0" w:after="160"/>
        <w:ind w:hanging="360" w:start="720" w:end="0"/>
        <w:jc w:val="both"/>
        <w:rPr/>
      </w:pPr>
      <w:r>
        <w:rPr>
          <w:rFonts w:eastAsia="David"/>
          <w:rtl w:val="true"/>
        </w:rPr>
        <w:t>בהתחשב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במידת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הפגיעה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בערכים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המוגנים</w:t>
      </w:r>
      <w:r>
        <w:rPr>
          <w:rFonts w:eastAsia="David"/>
          <w:rtl w:val="true"/>
        </w:rPr>
        <w:t xml:space="preserve">, </w:t>
      </w:r>
      <w:r>
        <w:rPr>
          <w:rFonts w:eastAsia="David"/>
          <w:rtl w:val="true"/>
        </w:rPr>
        <w:t>מדיניות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הנוהגת</w:t>
      </w:r>
      <w:r>
        <w:rPr>
          <w:rFonts w:eastAsia="David"/>
          <w:rtl w:val="true"/>
        </w:rPr>
        <w:t xml:space="preserve">, </w:t>
      </w:r>
      <w:r>
        <w:rPr>
          <w:rFonts w:eastAsia="David"/>
          <w:rtl w:val="true"/>
        </w:rPr>
        <w:t>ולאחר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שבחנתי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ביצוע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העבירה</w:t>
      </w:r>
      <w:r>
        <w:rPr>
          <w:rFonts w:eastAsia="David"/>
          <w:rtl w:val="true"/>
        </w:rPr>
        <w:t xml:space="preserve">, </w:t>
      </w:r>
      <w:r>
        <w:rPr>
          <w:rFonts w:eastAsia="David"/>
          <w:rtl w:val="true"/>
        </w:rPr>
        <w:t>החזקת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אקדח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טעון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במקום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מסתור</w:t>
      </w:r>
      <w:r>
        <w:rPr>
          <w:rFonts w:eastAsia="David"/>
          <w:rtl w:val="true"/>
        </w:rPr>
        <w:t xml:space="preserve">, </w:t>
      </w:r>
      <w:r>
        <w:rPr>
          <w:rFonts w:eastAsia="David"/>
          <w:rtl w:val="true"/>
        </w:rPr>
        <w:t>מצאתי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לקבוע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מתחם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ענישה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הנע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בין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Cs/>
        </w:rPr>
        <w:t>15-32</w:t>
      </w:r>
      <w:r>
        <w:rPr>
          <w:rFonts w:eastAsia="David"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חודשי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מאסר</w:t>
      </w:r>
      <w:r>
        <w:rPr>
          <w:rFonts w:eastAsia="David"/>
          <w:rtl w:val="true"/>
        </w:rPr>
        <w:t>.</w:t>
      </w:r>
      <w:r>
        <w:rPr>
          <w:rFonts w:eastAsia="David"/>
          <w:b/>
          <w:bCs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וירוצו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360" w:end="0"/>
        <w:contextualSpacing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לנאשמים</w:t>
      </w:r>
    </w:p>
    <w:p>
      <w:pPr>
        <w:pStyle w:val="Normal"/>
        <w:spacing w:lineRule="auto" w:line="360" w:before="0" w:after="120"/>
        <w:ind w:start="360" w:end="0"/>
        <w:contextualSpacing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1993</w:t>
      </w:r>
      <w:r>
        <w:rPr>
          <w:rtl w:val="true"/>
        </w:rPr>
        <w:t xml:space="preserve">, </w:t>
      </w:r>
      <w:r>
        <w:rPr>
          <w:rtl w:val="true"/>
        </w:rPr>
        <w:t>עובד לפרנסתו כנגר בנגרייה שבבעלותו מזה למעלה כעשור</w:t>
      </w:r>
      <w:r>
        <w:rPr>
          <w:rtl w:val="true"/>
        </w:rPr>
        <w:t xml:space="preserve">, </w:t>
      </w:r>
      <w:r>
        <w:rPr>
          <w:rtl w:val="true"/>
        </w:rPr>
        <w:t>תפקודו התעסוקתי יציב ונראה כי משקיע את מיטב מרצו בתחום</w:t>
      </w:r>
      <w:r>
        <w:rPr>
          <w:rtl w:val="true"/>
        </w:rPr>
        <w:t xml:space="preserve">. </w:t>
      </w:r>
      <w:r>
        <w:rPr>
          <w:rtl w:val="true"/>
        </w:rPr>
        <w:t xml:space="preserve">לחובתו הרשעה ישנה בעבירת איומים </w:t>
      </w:r>
      <w:r>
        <w:rPr>
          <w:rtl w:val="true"/>
        </w:rPr>
        <w:t>(</w:t>
      </w:r>
      <w:r>
        <w:rPr/>
        <w:t>2014</w:t>
      </w:r>
      <w:r>
        <w:rPr>
          <w:rtl w:val="true"/>
        </w:rPr>
        <w:t xml:space="preserve">). </w:t>
      </w:r>
      <w:r>
        <w:rPr>
          <w:rtl w:val="true"/>
        </w:rPr>
        <w:t>התרשמתי</w:t>
      </w:r>
      <w:r>
        <w:rPr>
          <w:rtl w:val="true"/>
        </w:rPr>
        <w:t xml:space="preserve">, </w:t>
      </w:r>
      <w:r>
        <w:rPr>
          <w:rtl w:val="true"/>
        </w:rPr>
        <w:t>כמו גם שירות המבחן</w:t>
      </w:r>
      <w:r>
        <w:rPr>
          <w:rtl w:val="true"/>
        </w:rPr>
        <w:t xml:space="preserve">, </w:t>
      </w:r>
      <w:r>
        <w:rPr>
          <w:rtl w:val="true"/>
        </w:rPr>
        <w:t>כי אינו אוחז בדפוסים אלימים או עברייניים מושרשים</w:t>
      </w:r>
      <w:r>
        <w:rPr>
          <w:rtl w:val="true"/>
        </w:rPr>
        <w:t xml:space="preserve">, </w:t>
      </w:r>
      <w:r>
        <w:rPr>
          <w:rtl w:val="true"/>
        </w:rPr>
        <w:t>וכי ברקע מעשיו סכסוכים לא פתורים שבהם מעורבים בני משפחתו</w:t>
      </w:r>
      <w:r>
        <w:rPr>
          <w:rtl w:val="true"/>
        </w:rPr>
        <w:t xml:space="preserve">. </w:t>
      </w:r>
      <w:r>
        <w:rPr>
          <w:rtl w:val="true"/>
        </w:rPr>
        <w:t>הנאשם השתתף בקבוצת עצורי בית בשירות המבחן ומטופל פרטנית ע</w:t>
      </w:r>
      <w:r>
        <w:rPr>
          <w:rtl w:val="true"/>
        </w:rPr>
        <w:t>"</w:t>
      </w:r>
      <w:r>
        <w:rPr>
          <w:rtl w:val="true"/>
        </w:rPr>
        <w:t>י מטפלת פרטית</w:t>
      </w:r>
      <w:r>
        <w:rPr>
          <w:rtl w:val="true"/>
        </w:rPr>
        <w:t xml:space="preserve">, </w:t>
      </w:r>
      <w:r>
        <w:rPr>
          <w:rtl w:val="true"/>
        </w:rPr>
        <w:t>ניכר כי מודע להשלכות מעשיו ומבין את המחירים שעלולה לשלם משפחתו בגין הסתבכותו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שיתוף הפעולה שלו עם גורמי הטיפול לא היה מלא</w:t>
      </w:r>
      <w:r>
        <w:rPr>
          <w:rtl w:val="true"/>
        </w:rPr>
        <w:t xml:space="preserve">, </w:t>
      </w:r>
      <w:r>
        <w:rPr>
          <w:rtl w:val="true"/>
        </w:rPr>
        <w:t>ולא התאפיין בפתיחות ובכנות</w:t>
      </w:r>
      <w:r>
        <w:rPr>
          <w:rtl w:val="true"/>
        </w:rPr>
        <w:t xml:space="preserve">. </w:t>
      </w:r>
      <w:r>
        <w:rPr>
          <w:rtl w:val="true"/>
        </w:rPr>
        <w:t>בנסיבות האמורות</w:t>
      </w:r>
      <w:r>
        <w:rPr>
          <w:rtl w:val="true"/>
        </w:rPr>
        <w:t xml:space="preserve">, </w:t>
      </w:r>
      <w:r>
        <w:rPr>
          <w:rtl w:val="true"/>
        </w:rPr>
        <w:t>לא הונח לפניי בסיס לחריגה ממתחם הענישה שנקבע</w:t>
      </w:r>
      <w:r>
        <w:rPr>
          <w:rtl w:val="true"/>
        </w:rPr>
        <w:t xml:space="preserve">, </w:t>
      </w:r>
      <w:r>
        <w:rPr>
          <w:rtl w:val="true"/>
        </w:rPr>
        <w:t>ולראיה שירות המבחן נמנע מהמלצה טיפולית</w:t>
      </w:r>
      <w:r>
        <w:rPr>
          <w:rtl w:val="true"/>
        </w:rPr>
        <w:t xml:space="preserve">. </w:t>
      </w:r>
      <w:r>
        <w:rPr>
          <w:rtl w:val="true"/>
        </w:rPr>
        <w:t>אף מחוות הדעת הפרטית לא עולה נכונות אמיתית לטיפול מעמיק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 xml:space="preserve">ענישה שיקומית בעבירות נשק יוצאת דופן ומתאפשרת רק במקרים חריגים שבחריגים </w:t>
      </w:r>
      <w:r>
        <w:rPr>
          <w:rtl w:val="true"/>
        </w:rPr>
        <w:t>(</w:t>
      </w:r>
      <w:hyperlink r:id="rId29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5807/20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מוחמד שיבלי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>מדינת 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30.12.20</w:t>
      </w:r>
      <w:r>
        <w:rPr>
          <w:rFonts w:cs="Times New Roman" w:ascii="Times New Roman" w:hAnsi="Times New Roman"/>
          <w:rtl w:val="true"/>
        </w:rPr>
        <w:t>)</w:t>
      </w:r>
      <w:r>
        <w:rPr>
          <w:rtl w:val="true"/>
        </w:rPr>
        <w:t xml:space="preserve">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6332/22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פדידה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(</w:t>
      </w:r>
      <w:r>
        <w:rPr/>
        <w:t>16.2.2023</w:t>
      </w:r>
      <w:r>
        <w:rPr>
          <w:rtl w:val="true"/>
        </w:rPr>
        <w:t xml:space="preserve">);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4332/21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עאסלה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20.2.2022</w:t>
      </w:r>
      <w:r>
        <w:rPr>
          <w:rtl w:val="true"/>
        </w:rPr>
        <w:t xml:space="preserve">). </w:t>
      </w:r>
      <w:r>
        <w:rPr>
          <w:rtl w:val="true"/>
        </w:rPr>
        <w:t xml:space="preserve">עניינו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אינו נמנה ביניהם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בצד זאת</w:t>
      </w:r>
      <w:r>
        <w:rPr>
          <w:rtl w:val="true"/>
        </w:rPr>
        <w:t xml:space="preserve">, </w:t>
      </w:r>
      <w:r>
        <w:rPr>
          <w:rtl w:val="true"/>
        </w:rPr>
        <w:t>אתן משקל להודאתו</w:t>
      </w:r>
      <w:r>
        <w:rPr>
          <w:rtl w:val="true"/>
        </w:rPr>
        <w:t xml:space="preserve">, </w:t>
      </w:r>
      <w:r>
        <w:rPr>
          <w:rtl w:val="true"/>
        </w:rPr>
        <w:t>מאמציו לקיים אורח חיים נורמטיבי</w:t>
      </w:r>
      <w:r>
        <w:rPr>
          <w:rtl w:val="true"/>
        </w:rPr>
        <w:t xml:space="preserve">, </w:t>
      </w:r>
      <w:r>
        <w:rPr>
          <w:rtl w:val="true"/>
        </w:rPr>
        <w:t>לפגיעה הצפויה בעסק שבבעלותו ובמשפחתו ולתקופת מעצרו</w:t>
      </w:r>
      <w:r>
        <w:rPr>
          <w:rtl w:val="true"/>
        </w:rPr>
        <w:t xml:space="preserve">, </w:t>
      </w:r>
      <w:r>
        <w:rPr>
          <w:rtl w:val="true"/>
        </w:rPr>
        <w:t>ואמקם את עונשו בתחתית המתחם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b/>
          <w:bCs/>
          <w:u w:val="single"/>
        </w:rPr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1993</w:t>
      </w:r>
      <w:r>
        <w:rPr>
          <w:rtl w:val="true"/>
        </w:rPr>
        <w:t xml:space="preserve">, </w:t>
      </w:r>
      <w:r>
        <w:rPr>
          <w:rtl w:val="true"/>
        </w:rPr>
        <w:t xml:space="preserve">לחובתו הרשעה ישנה בעבירת איומים והיזק לרכוש במזיד </w:t>
      </w:r>
      <w:r>
        <w:rPr>
          <w:rtl w:val="true"/>
        </w:rPr>
        <w:t>(</w:t>
      </w:r>
      <w:r>
        <w:rPr/>
        <w:t>2014</w:t>
      </w:r>
      <w:r>
        <w:rPr>
          <w:rtl w:val="true"/>
        </w:rPr>
        <w:t xml:space="preserve">). </w:t>
      </w:r>
      <w:r>
        <w:rPr>
          <w:rtl w:val="true"/>
        </w:rPr>
        <w:t>במסגרת תיק זה היה עצור כארבעה חודשים</w:t>
      </w:r>
      <w:r>
        <w:rPr>
          <w:rtl w:val="true"/>
        </w:rPr>
        <w:t xml:space="preserve">. </w:t>
      </w:r>
      <w:r>
        <w:rPr>
          <w:rtl w:val="true"/>
        </w:rPr>
        <w:t>זקפתי לזכותו את הודאתו במיוחס לו ותפקודו התקין</w:t>
      </w:r>
      <w:r>
        <w:rPr>
          <w:rtl w:val="true"/>
        </w:rPr>
        <w:t xml:space="preserve">, </w:t>
      </w:r>
      <w:r>
        <w:rPr>
          <w:rtl w:val="true"/>
        </w:rPr>
        <w:t>ומצאתי לגזור על עונש בתחתית המתחם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b/>
          <w:bCs/>
        </w:rPr>
      </w:pPr>
      <w:r>
        <w:rPr>
          <w:b/>
          <w:b/>
          <w:bCs/>
          <w:rtl w:val="true"/>
        </w:rPr>
        <w:t>אני גוזרת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אפוא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 הנאשמים את העונשים הבאים</w:t>
      </w:r>
      <w:r>
        <w:rPr>
          <w:b/>
          <w:bCs/>
          <w:rtl w:val="true"/>
        </w:rPr>
        <w:t>: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נאשם </w:t>
      </w:r>
      <w:r>
        <w:rPr>
          <w:b/>
          <w:bCs/>
          <w:u w:val="single"/>
        </w:rPr>
        <w:t>1</w:t>
      </w:r>
    </w:p>
    <w:p>
      <w:pPr>
        <w:pStyle w:val="ListParagraph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rtl w:val="true"/>
        </w:rPr>
        <w:t xml:space="preserve"> בניכוי ימי מעצרו </w:t>
      </w:r>
      <w:r>
        <w:rPr/>
        <w:t>23.11.21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21.3.22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מאסר על תנאי בן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חודשים לבל יעבור הנאשם עבירת נשק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ממאסר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קנס בסך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 מאסר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בחמישה תשלומים שווים ורצופים החל מיום </w:t>
      </w:r>
      <w:r>
        <w:rPr/>
        <w:t>3.9.23</w:t>
      </w:r>
      <w:r>
        <w:rPr>
          <w:rtl w:val="true"/>
        </w:rPr>
        <w:t xml:space="preserve">.   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הנאשם יתייצב לריצוי מאסרו ביום </w:t>
      </w:r>
      <w:r>
        <w:rPr/>
        <w:t>15.10.23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 xml:space="preserve">ר </w:t>
      </w:r>
      <w:r>
        <w:rPr>
          <w:rtl w:val="true"/>
        </w:rPr>
        <w:t>"</w:t>
      </w:r>
      <w:r>
        <w:rPr>
          <w:rtl w:val="true"/>
        </w:rPr>
        <w:t>הדרים</w:t>
      </w:r>
      <w:r>
        <w:rPr>
          <w:rtl w:val="true"/>
        </w:rPr>
        <w:t xml:space="preserve">". </w:t>
      </w:r>
      <w:r>
        <w:rPr>
          <w:rtl w:val="true"/>
        </w:rPr>
        <w:t>לצורך הבטחת התייצבותו תעמודנה הערבויות שהופקדו בהליך המעצר</w:t>
      </w:r>
      <w:r>
        <w:rPr>
          <w:rtl w:val="true"/>
        </w:rPr>
        <w:t xml:space="preserve">. </w:t>
      </w:r>
      <w:r>
        <w:rPr>
          <w:rtl w:val="true"/>
        </w:rPr>
        <w:t>לאחר תחילת ריצוי המאסר</w:t>
      </w:r>
      <w:r>
        <w:rPr>
          <w:rtl w:val="true"/>
        </w:rPr>
        <w:t xml:space="preserve">, </w:t>
      </w:r>
      <w:r>
        <w:rPr>
          <w:rtl w:val="true"/>
        </w:rPr>
        <w:t>יושבו למפקיד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נאשם </w:t>
      </w:r>
      <w:r>
        <w:rPr>
          <w:b/>
          <w:bCs/>
          <w:u w:val="single"/>
        </w:rPr>
        <w:t>2</w:t>
      </w:r>
    </w:p>
    <w:p>
      <w:pPr>
        <w:pStyle w:val="ListParagraph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 שירוצו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 xml:space="preserve">במקום העבודה קהילת אילנות בכתובת קדימה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קדימה</w:t>
      </w:r>
      <w:r>
        <w:rPr>
          <w:rtl w:val="true"/>
        </w:rPr>
        <w:t>-</w:t>
      </w:r>
      <w:r>
        <w:rPr>
          <w:rtl w:val="true"/>
        </w:rPr>
        <w:t>צורן</w:t>
      </w:r>
      <w:r>
        <w:rPr>
          <w:rtl w:val="true"/>
        </w:rPr>
        <w:t xml:space="preserve">. </w:t>
      </w:r>
      <w:r>
        <w:rPr>
          <w:rtl w:val="true"/>
        </w:rPr>
        <w:t>הנאשם יבצע את העבודות בימים א</w:t>
      </w:r>
      <w:r>
        <w:rPr>
          <w:rtl w:val="true"/>
        </w:rPr>
        <w:t>'-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בהתאם לטווח השעות שייקבע ע</w:t>
      </w:r>
      <w:r>
        <w:rPr>
          <w:rtl w:val="true"/>
        </w:rPr>
        <w:t>"</w:t>
      </w:r>
      <w:r>
        <w:rPr>
          <w:rtl w:val="true"/>
        </w:rPr>
        <w:t>י הממונה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 xml:space="preserve">על הנאשם להתייצב לקליטה והצבה ביום </w:t>
      </w:r>
      <w:r>
        <w:rPr/>
        <w:t>10.9.23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במשרדי הממונה בכתובת לוחמי בית</w:t>
      </w:r>
      <w:r>
        <w:rPr>
          <w:rtl w:val="true"/>
        </w:rPr>
        <w:t>"</w:t>
      </w:r>
      <w:r>
        <w:rPr>
          <w:rtl w:val="true"/>
        </w:rPr>
        <w:t xml:space="preserve">ר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רמלה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הנאשם מוזהר כי אם לא ישתף פעולה עם הממונה ניתן להמיר את העבודות במאסר ממש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לבל יעבור הנאשם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 עבירת  נשק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קנס בסך </w:t>
      </w:r>
      <w:r>
        <w:rPr/>
        <w:t>2,000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ימי מאסר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בחמישה תשלומים שווים ורצופים החל מיום </w:t>
      </w:r>
      <w:r>
        <w:rPr/>
        <w:t>3.9.23</w:t>
      </w:r>
      <w:r>
        <w:rPr>
          <w:rtl w:val="true"/>
        </w:rPr>
        <w:t xml:space="preserve">.   </w:t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למוצגים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להשמדה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1"/>
        <w:ind w:end="0"/>
        <w:jc w:val="both"/>
        <w:textAlignment w:val="baseline"/>
        <w:rPr>
          <w:rFonts w:ascii="Times New Roman" w:hAnsi="Times New Roman" w:cs="David"/>
          <w:color w:val="FFFFFF"/>
          <w:spacing w:val="0"/>
          <w:sz w:val="2"/>
          <w:szCs w:val="2"/>
        </w:rPr>
      </w:pPr>
      <w:r>
        <w:rPr>
          <w:rFonts w:cs="David" w:ascii="Times New Roman" w:hAnsi="Times New Roman"/>
          <w:color w:val="FFFFFF"/>
          <w:spacing w:val="0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pacing w:val="0"/>
          <w:sz w:val="26"/>
          <w:szCs w:val="26"/>
        </w:rPr>
      </w:pPr>
      <w:r>
        <w:rPr>
          <w:rFonts w:cs="Arial" w:ascii="Arial" w:hAnsi="Arial"/>
          <w:b/>
          <w:bCs/>
          <w:color w:val="FFFFFF"/>
          <w:spacing w:val="0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 אב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אוגוסט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10875-12-21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נור אבו צאפי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ascii="David" w:hAnsi="David" w:cs="David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3z0">
    <w:name w:val="WW8Num3z0"/>
    <w:qFormat/>
    <w:rPr>
      <w:rFonts w:ascii="David" w:hAnsi="David" w:cs="David"/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ListParagraphChar">
    <w:name w:val="List Paragraph Char"/>
    <w:qFormat/>
    <w:rPr>
      <w:rFonts w:ascii="David" w:hAnsi="David" w:eastAsia="David" w:cs="David"/>
      <w:sz w:val="24"/>
      <w:szCs w:val="24"/>
    </w:rPr>
  </w:style>
  <w:style w:type="character" w:styleId="Ruller4">
    <w:name w:val="Ruller4 תו"/>
    <w:qFormat/>
    <w:rPr>
      <w:rFonts w:ascii="Arial TUR" w:hAnsi="Arial TUR" w:cs="FrankRuehl"/>
      <w:spacing w:val="10"/>
      <w:szCs w:val="28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Number">
    <w:name w:val="List Number"/>
    <w:basedOn w:val="Normal"/>
    <w:qFormat/>
    <w:pPr>
      <w:numPr>
        <w:ilvl w:val="0"/>
        <w:numId w:val="1"/>
      </w:numPr>
      <w:spacing w:lineRule="auto" w:line="360" w:before="0" w:after="120"/>
      <w:ind w:hanging="0" w:start="0" w:end="360"/>
    </w:pPr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eastAsia="David" w:cs="David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eastAsia="Calibri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31" TargetMode="External"/><Relationship Id="rId9" Type="http://schemas.openxmlformats.org/officeDocument/2006/relationships/hyperlink" Target="http://www.nevo.co.il/case/27894608" TargetMode="External"/><Relationship Id="rId10" Type="http://schemas.openxmlformats.org/officeDocument/2006/relationships/hyperlink" Target="http://www.nevo.co.il/case/27911638" TargetMode="External"/><Relationship Id="rId11" Type="http://schemas.openxmlformats.org/officeDocument/2006/relationships/hyperlink" Target="http://www.nevo.co.il/case/28152132" TargetMode="External"/><Relationship Id="rId12" Type="http://schemas.openxmlformats.org/officeDocument/2006/relationships/hyperlink" Target="http://www.nevo.co.il/case/28452933" TargetMode="External"/><Relationship Id="rId13" Type="http://schemas.openxmlformats.org/officeDocument/2006/relationships/hyperlink" Target="http://www.nevo.co.il/case/27305799" TargetMode="External"/><Relationship Id="rId14" Type="http://schemas.openxmlformats.org/officeDocument/2006/relationships/hyperlink" Target="http://www.nevo.co.il/case/5568354" TargetMode="External"/><Relationship Id="rId15" Type="http://schemas.openxmlformats.org/officeDocument/2006/relationships/hyperlink" Target="http://www.nevo.co.il/case/27499246" TargetMode="External"/><Relationship Id="rId16" Type="http://schemas.openxmlformats.org/officeDocument/2006/relationships/hyperlink" Target="http://www.nevo.co.il/case/28513828" TargetMode="External"/><Relationship Id="rId17" Type="http://schemas.openxmlformats.org/officeDocument/2006/relationships/hyperlink" Target="http://www.nevo.co.il/case/26986974" TargetMode="External"/><Relationship Id="rId18" Type="http://schemas.openxmlformats.org/officeDocument/2006/relationships/hyperlink" Target="http://www.nevo.co.il/case/28152132" TargetMode="External"/><Relationship Id="rId19" Type="http://schemas.openxmlformats.org/officeDocument/2006/relationships/hyperlink" Target="http://www.nevo.co.il/case/25528737" TargetMode="External"/><Relationship Id="rId20" Type="http://schemas.openxmlformats.org/officeDocument/2006/relationships/hyperlink" Target="http://www.nevo.co.il/case/26913995" TargetMode="External"/><Relationship Id="rId21" Type="http://schemas.openxmlformats.org/officeDocument/2006/relationships/hyperlink" Target="http://www.nevo.co.il/case/28389666" TargetMode="External"/><Relationship Id="rId22" Type="http://schemas.openxmlformats.org/officeDocument/2006/relationships/hyperlink" Target="http://www.nevo.co.il/case/28621153" TargetMode="External"/><Relationship Id="rId23" Type="http://schemas.openxmlformats.org/officeDocument/2006/relationships/hyperlink" Target="http://www.nevo.co.il/case/28257427" TargetMode="External"/><Relationship Id="rId24" Type="http://schemas.openxmlformats.org/officeDocument/2006/relationships/hyperlink" Target="http://www.nevo.co.il/case/13015506" TargetMode="External"/><Relationship Id="rId25" Type="http://schemas.openxmlformats.org/officeDocument/2006/relationships/hyperlink" Target="http://www.nevo.co.il/case/5614477" TargetMode="External"/><Relationship Id="rId26" Type="http://schemas.openxmlformats.org/officeDocument/2006/relationships/hyperlink" Target="http://www.nevo.co.il/case/28963593" TargetMode="External"/><Relationship Id="rId27" Type="http://schemas.openxmlformats.org/officeDocument/2006/relationships/hyperlink" Target="http://www.nevo.co.il/case/26842441" TargetMode="External"/><Relationship Id="rId28" Type="http://schemas.openxmlformats.org/officeDocument/2006/relationships/hyperlink" Target="http://www.nevo.co.il/case/22272975" TargetMode="External"/><Relationship Id="rId29" Type="http://schemas.openxmlformats.org/officeDocument/2006/relationships/hyperlink" Target="http://www.nevo.co.il/case/26934681" TargetMode="External"/><Relationship Id="rId30" Type="http://schemas.openxmlformats.org/officeDocument/2006/relationships/hyperlink" Target="http://www.nevo.co.il/case/28963593" TargetMode="External"/><Relationship Id="rId31" Type="http://schemas.openxmlformats.org/officeDocument/2006/relationships/hyperlink" Target="http://www.nevo.co.il/case/27721185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2024-08-26T13:50:00Z</dcterms:created>
  <dc:creator> </dc:creator>
  <dc:description/>
  <cp:keywords/>
  <dc:language>en-IL</dc:language>
  <cp:lastModifiedBy>h1</cp:lastModifiedBy>
  <dcterms:modified xsi:type="dcterms:W3CDTF">2024-08-26T13:50:00Z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נור אבו צאפי;פאדי אבו צאפי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27894608;27911638;28152132:2;28452933;27305799;5568354;27499246;28513828;26986974;25528737;26913995;28389666;28621153;28257427;13015506;5614477;28963593:2;26842441;22272975;26934681;27721185</vt:lpwstr>
  </property>
  <property fmtid="{D5CDD505-2E9C-101B-9397-08002B2CF9AE}" pid="9" name="CITY">
    <vt:lpwstr>מרכז</vt:lpwstr>
  </property>
  <property fmtid="{D5CDD505-2E9C-101B-9397-08002B2CF9AE}" pid="10" name="DATE">
    <vt:lpwstr>20230808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מרב גרינברג</vt:lpwstr>
  </property>
  <property fmtid="{D5CDD505-2E9C-101B-9397-08002B2CF9AE}" pid="14" name="LAWLISTTMP1">
    <vt:lpwstr>70301/144.a:2;031</vt:lpwstr>
  </property>
  <property fmtid="{D5CDD505-2E9C-101B-9397-08002B2CF9AE}" pid="15" name="LAWYER">
    <vt:lpwstr>שירה מוהר;עלא תלאווי;שאדי נאטור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10875</vt:lpwstr>
  </property>
  <property fmtid="{D5CDD505-2E9C-101B-9397-08002B2CF9AE}" pid="22" name="NEWPARTB">
    <vt:lpwstr>12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390020230808</vt:lpwstr>
  </property>
  <property fmtid="{D5CDD505-2E9C-101B-9397-08002B2CF9AE}" pid="34" name="TYPE_N_DATE">
    <vt:lpwstr>39020230808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