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  <w:drawing>
          <wp:inline distT="0" distB="0" distL="0" distR="0">
            <wp:extent cx="513715" cy="571500"/>
            <wp:effectExtent l="0" t="0" r="0" b="0"/>
            <wp:docPr id="1" name="Menora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ora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28" r="-31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בדימונה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1090-06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ויזמן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1071/08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ויזמן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אבישי זבולון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Start w:id="3" w:name="FirstAppellant"/>
            <w:bookmarkEnd w:id="2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לשכת תביעות מרחב נגב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 שבע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אתי בוחניק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מתמחה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יהודה ויזמן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בעצמו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 אלמאכווי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6" w:name="PsakDin"/>
      <w:bookmarkEnd w:id="6"/>
      <w:r>
        <w:rPr>
          <w:b/>
          <w:b/>
          <w:bCs/>
          <w:rtl w:val="true"/>
        </w:rPr>
        <w:t>מתיר לנאשם לחזור בו מכפירתו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זבולון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נוכח </w:t>
      </w:r>
      <w:r>
        <w:rPr>
          <w:b/>
          <w:b/>
          <w:bCs/>
          <w:rtl w:val="true"/>
        </w:rPr>
        <w:t xml:space="preserve"> הודאת הנאשם בעובדות ה</w:t>
      </w:r>
      <w:r>
        <w:rPr>
          <w:b/>
          <w:b/>
          <w:bCs/>
          <w:rtl w:val="true"/>
        </w:rPr>
        <w:t xml:space="preserve">מיוחסות לו </w:t>
      </w:r>
      <w:r>
        <w:rPr>
          <w:b/>
          <w:b/>
          <w:bCs/>
          <w:rtl w:val="true"/>
        </w:rPr>
        <w:t>בכתב האישום</w:t>
      </w:r>
      <w:r>
        <w:rPr>
          <w:b/>
          <w:b/>
          <w:bCs/>
          <w:rtl w:val="true"/>
        </w:rPr>
        <w:t xml:space="preserve"> המתוקן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אני מוצא אותו אשם </w:t>
      </w:r>
      <w:r>
        <w:rPr>
          <w:b/>
          <w:b/>
          <w:bCs/>
          <w:rtl w:val="true"/>
        </w:rPr>
        <w:t>ומרשיע אותו בעבירה המיוחסת לו בכתב האישום המתוקן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זבולון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הכרעת דין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נוספת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#10#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נוכח </w:t>
      </w:r>
      <w:r>
        <w:rPr>
          <w:b/>
          <w:b/>
          <w:bCs/>
          <w:rtl w:val="true"/>
        </w:rPr>
        <w:t xml:space="preserve"> הודאת הנאשם בעובדות ה</w:t>
      </w:r>
      <w:r>
        <w:rPr>
          <w:b/>
          <w:b/>
          <w:bCs/>
          <w:rtl w:val="true"/>
        </w:rPr>
        <w:t xml:space="preserve">מיוחסות לו </w:t>
      </w:r>
      <w:r>
        <w:rPr>
          <w:b/>
          <w:b/>
          <w:bCs/>
          <w:rtl w:val="true"/>
        </w:rPr>
        <w:t>בכתב האישום</w:t>
      </w:r>
      <w:r>
        <w:rPr>
          <w:b/>
          <w:b/>
          <w:bCs/>
          <w:rtl w:val="true"/>
        </w:rPr>
        <w:t xml:space="preserve"> שבת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1071/08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אני מוצא אותו אשם </w:t>
      </w:r>
      <w:r>
        <w:rPr>
          <w:b/>
          <w:b/>
          <w:bCs/>
          <w:rtl w:val="true"/>
        </w:rPr>
        <w:t>ומרשיע אותו בעבירה המיוחסת לו בכתב האישום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#9#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זבולון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7" w:name="ABSTRACT_START"/>
      <w:bookmarkEnd w:id="7"/>
      <w:r>
        <w:rPr>
          <w:b/>
          <w:b/>
          <w:bCs/>
          <w:rtl w:val="true"/>
        </w:rPr>
        <w:t>הנאשם הודה והורשע במסגרת הסדר טיעון בשני כתבי אישום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האחד מת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1090/06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מתוקן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בעבירה של הסגת גבול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r>
        <w:rPr>
          <w:b/>
          <w:bCs/>
        </w:rPr>
        <w:t>447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8" w:name="ABSTRACT_END"/>
      <w:bookmarkEnd w:id="8"/>
      <w:r>
        <w:rPr>
          <w:b/>
          <w:b/>
          <w:bCs/>
          <w:rtl w:val="true"/>
        </w:rPr>
        <w:t xml:space="preserve">בכך כי ביום </w:t>
      </w:r>
      <w:r>
        <w:rPr>
          <w:b/>
          <w:bCs/>
        </w:rPr>
        <w:t>26/8/05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בשעות הערב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הכניס ידיו למחסן של חנות מתוך כוונה לבצע עבירה 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וכן בת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1071/08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 עבירת 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עבירה לפי סעיף </w:t>
      </w:r>
      <w:r>
        <w:rPr>
          <w:b/>
          <w:bCs/>
        </w:rPr>
        <w:t>192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ז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בכך כי ביום </w:t>
      </w:r>
      <w:r>
        <w:rPr>
          <w:b/>
          <w:bCs/>
        </w:rPr>
        <w:t>2/1/08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איים על המתלוננת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בת זוגו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בפגיעה שלא כדין בגופה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בעקבות ויכוח שהתגלע בינהם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הצדדים הגיעו לידי הסדר לפיו יושת על הנאשם מאסר על תנאי והתחייבות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 מדגישה בטיעוניה את עברו הפלילי המכביד של הנאשם בגין עבירות של 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 סכין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הפרת הוראה חוקית והסגת גבול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כאשר הרשעתו האחרונה משנת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 עותרת כי יוטל עליו מאסר על תנאי אשר יתייחס לעבירות 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עוון ופשע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עבירות אלימות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מנגד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הנאשם מציין כי העבירה נשוא כתב האישום המתוקן הינה משנת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 כתב האישום תוקן במידה משמעותית ובאשר לעבירה הנוספת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איום על בת זוגו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 שהדברים נאמרו בעידנה דריתחא וכן כי  בני הזוג חיים ביחד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 ששמעתי דברי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הצדדים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נכון יהיה לאמץ את ההסדר אליו 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שכן אמנם מדובר בנאשם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עברו מכביד ולו הרשעות לא מעטות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עוקבות לאורך השנים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 כי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 אחרונה אותה עברה הינה מ</w:t>
      </w:r>
      <w:r>
        <w:rPr>
          <w:b/>
          <w:bCs/>
          <w:rtl w:val="true"/>
        </w:rPr>
        <w:t>-</w:t>
      </w:r>
      <w:r>
        <w:rPr>
          <w:b/>
          <w:bCs/>
        </w:rPr>
        <w:t>2/08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 יש לקוות כי מאז גמל בליבו לחדול מדרך חיים 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 מנת שלא לחסום את דרכו של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ככל אשר ניסיונו כנה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לנכון לאמץ את ההסדר כאמור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האמור לעיל הנני גוזר על הנאשם את העונשים כדלהלן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חודשי מאסר על תנאי שלא יעבור במשך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 מיום שחרורו מהכלא</w:t>
      </w:r>
      <w:r>
        <w:rPr>
          <w:b/>
          <w:bCs/>
          <w:rtl w:val="true"/>
        </w:rPr>
        <w:t xml:space="preserve">,  </w:t>
      </w:r>
      <w:r>
        <w:rPr>
          <w:b/>
          <w:b/>
          <w:bCs/>
          <w:rtl w:val="true"/>
        </w:rPr>
        <w:t>עבירות בהן הורשע בתיקים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כל עבירת רכוש ואלימות</w:t>
      </w:r>
      <w:r>
        <w:rPr>
          <w:b/>
          <w:bCs/>
          <w:rtl w:val="true"/>
        </w:rPr>
        <w:t>.</w:t>
      </w:r>
    </w:p>
    <w:p>
      <w:pPr>
        <w:pStyle w:val="BodyText"/>
        <w:spacing w:lineRule="auto" w:line="36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מחייב את הנאשם לחתום התחייבות עצמית בסך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 ₪ </w:t>
      </w:r>
      <w:r>
        <w:rPr>
          <w:b/>
          <w:b/>
          <w:bCs/>
          <w:rtl w:val="true"/>
        </w:rPr>
        <w:t>להימנע במשך שנתיים מיום שחרורו מהכלא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מלעבור עבירה מהעבירות בהן הורשע בתיקים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 כל עבירת רכוש ואלימות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לא תחתם ההתחייבות יאסר הנאשם למשך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 העובדה כי יש שביתה במזכירויות בתי 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הנאשם יחתום  את ההתחייבות כאמור  בתוך 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מיום שחרורו מהכלא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בתיק בו הוא עצור</w:t>
      </w:r>
      <w:r>
        <w:rPr>
          <w:b/>
          <w:bCs/>
          <w:rtl w:val="true"/>
        </w:rPr>
        <w:t>. (</w:t>
      </w:r>
      <w:hyperlink r:id="rId5">
        <w:r>
          <w:rPr>
            <w:rStyle w:val="Hyperlink"/>
            <w:b/>
            <w:b/>
            <w:bCs/>
            <w:color w:val="0000FF"/>
            <w:u w:val="single"/>
            <w:rtl w:val="true"/>
          </w:rPr>
          <w:t>מ</w:t>
        </w:r>
        <w:r>
          <w:rPr>
            <w:rStyle w:val="Hyperlink"/>
            <w:b/>
            <w:bCs/>
            <w:color w:val="0000FF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. </w:t>
        </w:r>
        <w:r>
          <w:rPr>
            <w:rStyle w:val="Hyperlink"/>
            <w:b/>
            <w:bCs/>
            <w:color w:val="0000FF"/>
            <w:u w:val="single"/>
          </w:rPr>
          <w:t>16183-06-10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 משפט השלום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המוצגים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כלי פריצה יושמדו בכפוף לחלוף תקופת הערעור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 יוגש ערעור בכפוף להחלטה בו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#13#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05/07/2010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אבישי זבולון </w:t>
      </w:r>
      <w:r>
        <w:rPr>
          <w:color w:val="000000"/>
          <w:sz w:val="22"/>
          <w:szCs w:val="22"/>
        </w:rPr>
        <w:t>54678313-1071/08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אבישי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זבולון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כוכבה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לוי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ascii="Arial" w:hAnsi="Arial" w:cs="FrankRuehl"/>
          <w:sz w:val="28"/>
          <w:sz w:val="28"/>
          <w:szCs w:val="28"/>
          <w:rtl w:val="true"/>
        </w:rPr>
        <w:t>קלדנית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/Users/liorb/Downloads/study2025-p2/SH-06-1090-590.doc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די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1071/08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די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1090-06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 xml:space="preserve">לשכת תביעות מרחב נגב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באר שבע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יהודה ויזמן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אסיר</w:t>
    </w:r>
    <w:r>
      <w:rPr>
        <w:color w:val="000000"/>
        <w:sz w:val="22"/>
        <w:szCs w:val="22"/>
        <w:rtl w:val="true"/>
      </w:rPr>
      <w:t>) 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rFonts w:ascii="Times New Roman" w:hAnsi="Times New Roman" w:eastAsia="Times New Roman" w:cs="Times New Roman"/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NEWPROC=&#1502;&#1514;&amp;NEWPARTA=10&amp;NEWPARTB=06&amp;NEWPARTC=16183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2010-07-06T04:17:00Z</dcterms:created>
  <dc:creator> </dc:creator>
  <dc:description/>
  <cp:keywords/>
  <dc:language>en-IL</dc:language>
  <cp:lastModifiedBy>einat</cp:lastModifiedBy>
  <dcterms:modified xsi:type="dcterms:W3CDTF">2010-07-15T09:58:00Z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מרחב נגב - באר שבע</vt:lpwstr>
  </property>
  <property fmtid="{D5CDD505-2E9C-101B-9397-08002B2CF9AE}" pid="3" name="APPELLEE">
    <vt:lpwstr>יהודה ויזמן (אסיר) –</vt:lpwstr>
  </property>
  <property fmtid="{D5CDD505-2E9C-101B-9397-08002B2CF9AE}" pid="4" name="CITY">
    <vt:lpwstr>די'</vt:lpwstr>
  </property>
  <property fmtid="{D5CDD505-2E9C-101B-9397-08002B2CF9AE}" pid="5" name="DATE">
    <vt:lpwstr>20100705</vt:lpwstr>
  </property>
  <property fmtid="{D5CDD505-2E9C-101B-9397-08002B2CF9AE}" pid="6" name="ISABSTRACT">
    <vt:lpwstr>Y</vt:lpwstr>
  </property>
  <property fmtid="{D5CDD505-2E9C-101B-9397-08002B2CF9AE}" pid="7" name="JUDGE">
    <vt:lpwstr>אבישי זבולון</vt:lpwstr>
  </property>
  <property fmtid="{D5CDD505-2E9C-101B-9397-08002B2CF9AE}" pid="8" name="LAWYER">
    <vt:lpwstr>מ.י. לשכת תביעות מרחב נגב באר שבע;אתי בוחניק – מתמחה;יהודה ויזמן (אסיר) –;אלמאכווי</vt:lpwstr>
  </property>
  <property fmtid="{D5CDD505-2E9C-101B-9397-08002B2CF9AE}" pid="9" name="NEWPARTA">
    <vt:lpwstr>1090</vt:lpwstr>
  </property>
  <property fmtid="{D5CDD505-2E9C-101B-9397-08002B2CF9AE}" pid="10" name="NEWPARTB">
    <vt:lpwstr/>
  </property>
  <property fmtid="{D5CDD505-2E9C-101B-9397-08002B2CF9AE}" pid="11" name="NEWPARTC">
    <vt:lpwstr>06</vt:lpwstr>
  </property>
  <property fmtid="{D5CDD505-2E9C-101B-9397-08002B2CF9AE}" pid="12" name="NEWPROC">
    <vt:lpwstr>תפ</vt:lpwstr>
  </property>
  <property fmtid="{D5CDD505-2E9C-101B-9397-08002B2CF9AE}" pid="13" name="PROCESS">
    <vt:lpwstr>תפ</vt:lpwstr>
  </property>
  <property fmtid="{D5CDD505-2E9C-101B-9397-08002B2CF9AE}" pid="14" name="PROCNUM">
    <vt:lpwstr>1071;1090</vt:lpwstr>
  </property>
  <property fmtid="{D5CDD505-2E9C-101B-9397-08002B2CF9AE}" pid="15" name="PROCYEAR">
    <vt:lpwstr>08;06</vt:lpwstr>
  </property>
  <property fmtid="{D5CDD505-2E9C-101B-9397-08002B2CF9AE}" pid="16" name="PSAKDIN">
    <vt:lpwstr>החלטה</vt:lpwstr>
  </property>
  <property fmtid="{D5CDD505-2E9C-101B-9397-08002B2CF9AE}" pid="17" name="RemarkFileName">
    <vt:lpwstr>shalom sh 06 1090 590 htm</vt:lpwstr>
  </property>
  <property fmtid="{D5CDD505-2E9C-101B-9397-08002B2CF9AE}" pid="18" name="TYPE">
    <vt:lpwstr>3</vt:lpwstr>
  </property>
  <property fmtid="{D5CDD505-2E9C-101B-9397-08002B2CF9AE}" pid="19" name="TYPE_ABS_DATE">
    <vt:lpwstr>380020100705</vt:lpwstr>
  </property>
  <property fmtid="{D5CDD505-2E9C-101B-9397-08002B2CF9AE}" pid="20" name="TYPE_N_DATE">
    <vt:lpwstr>38020100705</vt:lpwstr>
  </property>
  <property fmtid="{D5CDD505-2E9C-101B-9397-08002B2CF9AE}" pid="21" name="WORDNUMPAGES">
    <vt:lpwstr>4</vt:lpwstr>
  </property>
</Properties>
</file>