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480"/>
        <w:gridCol w:w="82"/>
      </w:tblGrid>
      <w:tr>
        <w:trPr>
          <w:trHeight w:val="337" w:hRule="atLeast"/>
        </w:trPr>
        <w:tc>
          <w:tcPr>
            <w:tcW w:w="872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/>
            </w:pPr>
            <w:r>
              <w:rPr>
                <w:rtl w:val="true"/>
              </w:rPr>
            </w:r>
          </w:p>
          <w:tbl>
            <w:tblPr>
              <w:bidiVisual w:val="true"/>
              <w:tblW w:w="8504" w:type="dxa"/>
              <w:jc w:val="center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3876"/>
              <w:gridCol w:w="1042"/>
              <w:gridCol w:w="3586"/>
            </w:tblGrid>
            <w:tr>
              <w:trPr>
                <w:trHeight w:val="418" w:hRule="exact"/>
              </w:trPr>
              <w:tc>
                <w:tcPr>
                  <w:tcW w:w="8504" w:type="dxa"/>
                  <w:gridSpan w:val="3"/>
                  <w:tcBorders/>
                </w:tcPr>
                <w:p>
                  <w:pPr>
                    <w:pStyle w:val="Header"/>
                    <w:tabs>
                      <w:tab w:val="clear" w:pos="720"/>
                    </w:tabs>
                    <w:ind w:end="0"/>
                    <w:jc w:val="center"/>
                    <w:rPr>
                      <w:rFonts w:ascii="Tahoma" w:hAnsi="Tahoma" w:cs="Tahoma"/>
                      <w:b/>
                      <w:bCs/>
                      <w:color w:val="000080"/>
                      <w:sz w:val="20"/>
                      <w:szCs w:val="20"/>
                    </w:rPr>
                  </w:pPr>
                  <w:r>
                    <w:rPr>
                      <w:vanish/>
                      <w:highlight w:val="yellow"/>
                      <w:rtl w:val="true"/>
                    </w:rPr>
                    <w:t>&lt;</w:t>
                  </w:r>
                  <w:r>
                    <w:rPr>
                      <w:rFonts w:ascii="Tahoma" w:hAnsi="Tahoma" w:cs="Tahoma"/>
                      <w:b/>
                      <w:b/>
                      <w:bCs/>
                      <w:color w:val="000080"/>
                      <w:sz w:val="20"/>
                      <w:sz w:val="20"/>
                      <w:szCs w:val="20"/>
                      <w:rtl w:val="true"/>
                    </w:rPr>
                    <w:t>בית משפט השלום בנצרת</w:t>
                  </w:r>
                  <w:r>
                    <w:rPr>
                      <w:vanish/>
                      <w:highlight w:val="yellow"/>
                      <w:rtl w:val="true"/>
                    </w:rPr>
                    <w:t>&gt;</w:t>
                  </w:r>
                </w:p>
              </w:tc>
            </w:tr>
            <w:tr>
              <w:trPr>
                <w:trHeight w:val="337" w:hRule="atLeast"/>
              </w:trPr>
              <w:tc>
                <w:tcPr>
                  <w:tcW w:w="3876" w:type="dxa"/>
                  <w:tcBorders/>
                </w:tcPr>
                <w:p>
                  <w:pPr>
                    <w:pStyle w:val="Normal"/>
                    <w:ind w:end="0"/>
                    <w:jc w:val="start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vanish/>
                      <w:highlight w:val="yellow"/>
                      <w:rtl w:val="true"/>
                    </w:rPr>
                    <w:t>&lt;&lt;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ת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>"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פ</w:t>
                  </w:r>
                  <w:r>
                    <w:rPr>
                      <w:vanish/>
                      <w:highlight w:val="yellow"/>
                      <w:rtl w:val="true"/>
                    </w:rPr>
                    <w:t>&gt;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vanish/>
                      <w:highlight w:val="yellow"/>
                      <w:rtl w:val="true"/>
                    </w:rPr>
                    <w:t>&lt;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1093-04</w:t>
                  </w:r>
                  <w:r>
                    <w:rPr>
                      <w:vanish/>
                      <w:highlight w:val="yellow"/>
                      <w:rtl w:val="true"/>
                    </w:rPr>
                    <w:t>&gt;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vanish/>
                      <w:highlight w:val="yellow"/>
                      <w:rtl w:val="true"/>
                    </w:rPr>
                    <w:t>&lt;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מ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>.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י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.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בית המכס חיפה נ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'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שלופי ואח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' </w:t>
                  </w:r>
                  <w:r>
                    <w:rPr>
                      <w:vanish/>
                      <w:highlight w:val="yellow"/>
                      <w:rtl w:val="true"/>
                    </w:rPr>
                    <w:t>&gt;&gt;</w:t>
                  </w:r>
                </w:p>
                <w:p>
                  <w:pPr>
                    <w:pStyle w:val="Normal"/>
                    <w:ind w:end="0"/>
                    <w:jc w:val="start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</w:r>
                </w:p>
              </w:tc>
              <w:tc>
                <w:tcPr>
                  <w:tcW w:w="1042" w:type="dxa"/>
                  <w:tcBorders/>
                </w:tcPr>
                <w:p>
                  <w:pPr>
                    <w:pStyle w:val="Header"/>
                    <w:snapToGrid w:val="false"/>
                    <w:ind w:end="0"/>
                    <w:jc w:val="end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</w:r>
                </w:p>
              </w:tc>
              <w:tc>
                <w:tcPr>
                  <w:tcW w:w="3586" w:type="dxa"/>
                  <w:tcBorders/>
                </w:tcPr>
                <w:p>
                  <w:pPr>
                    <w:pStyle w:val="Header"/>
                    <w:tabs>
                      <w:tab w:val="clear" w:pos="720"/>
                    </w:tabs>
                    <w:ind w:end="0"/>
                    <w:jc w:val="end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vanish/>
                      <w:highlight w:val="yellow"/>
                      <w:rtl w:val="true"/>
                    </w:rPr>
                    <w:t>&lt;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03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 xml:space="preserve">יולי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2008</w:t>
                  </w:r>
                  <w:r>
                    <w:rPr>
                      <w:vanish/>
                      <w:highlight w:val="yellow"/>
                      <w:rtl w:val="true"/>
                    </w:rPr>
                    <w:t>&gt;</w:t>
                  </w:r>
                </w:p>
              </w:tc>
            </w:tr>
          </w:tbl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לפני כבוד השופט ג</w:t>
            </w:r>
            <w:r>
              <w:rPr>
                <w:b/>
                <w:bCs/>
                <w:sz w:val="24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ורג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אזולאי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–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ס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נשיא</w:t>
            </w:r>
          </w:p>
          <w:p>
            <w:pPr>
              <w:pStyle w:val="Header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 המכס חיפה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/>
                <w:bCs/>
                <w:sz w:val="24"/>
                <w:sz w:val="24"/>
                <w:szCs w:val="24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4"/>
                <w:szCs w:val="24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אליאס שלופי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4"/>
                <w:szCs w:val="24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חברת שמס לאספקת כוח אדם </w:t>
            </w:r>
            <w:r>
              <w:rPr>
                <w:rFonts w:cs="David"/>
                <w:b/>
                <w:bCs/>
                <w:sz w:val="24"/>
                <w:szCs w:val="24"/>
              </w:rPr>
              <w:t>1996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&lt;</w:t>
      </w:r>
      <w:r>
        <w:rPr>
          <w:u w:val="none"/>
        </w:rPr>
        <w:t>#2#</w:t>
      </w:r>
      <w:r>
        <w:rPr>
          <w:u w:val="none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מר מרואת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הופיע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</w:t>
      </w:r>
      <w:bookmarkStart w:id="4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הנאשמים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הישאם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הוארי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4"/>
          <w:szCs w:val="24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  <w:bookmarkStart w:id="5" w:name="Links_Start"/>
      <w:bookmarkStart w:id="6" w:name="Links_Start"/>
      <w:bookmarkEnd w:id="6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לפסק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25-11-2008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עפא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204/08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אליאס שלופה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-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אגף המכס ומע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אסתר הלמן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שאהר אטרש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אשר קולה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הווארי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ורי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23-03-2009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רעפ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184/09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אליאס שלופה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אגף המכס והמע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 – 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ובראן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יורם הירשברג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רפאל כהן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07-05-2009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רעפ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184/09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אליאס שלופה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-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אגף המכס והמע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ביניש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רפאל כהן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11-06-2009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רעפ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184/09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אליאס שלופה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-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אגף המכס והמע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 ד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ביניש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רפאל כהן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  <w:bookmarkStart w:id="7" w:name="Links_End"/>
      <w:bookmarkStart w:id="8" w:name="Links_End"/>
      <w:bookmarkEnd w:id="8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  <w:bookmarkStart w:id="9" w:name="Links_Start"/>
      <w:bookmarkStart w:id="10" w:name="LawTable"/>
      <w:bookmarkStart w:id="11" w:name="Links_Start"/>
      <w:bookmarkStart w:id="12" w:name="LawTable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15" w:name="PsakDin"/>
      <w:bookmarkEnd w:id="15"/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bookmarkStart w:id="16" w:name="PsakDin"/>
      <w:bookmarkEnd w:id="16"/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bookmarkStart w:id="17" w:name="ABSTRACT_START"/>
      <w:bookmarkEnd w:id="17"/>
      <w:r>
        <w:rPr>
          <w:sz w:val="24"/>
          <w:sz w:val="24"/>
          <w:szCs w:val="24"/>
          <w:rtl w:val="true"/>
        </w:rPr>
        <w:t xml:space="preserve">הנאשם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 ניהול הוכחות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בביצוע ארבע עבירות של </w:t>
      </w:r>
      <w:r>
        <w:rPr>
          <w:b/>
          <w:b/>
          <w:bCs/>
          <w:sz w:val="24"/>
          <w:sz w:val="24"/>
          <w:szCs w:val="24"/>
          <w:rtl w:val="true"/>
        </w:rPr>
        <w:t>הוצאת חשבוניות מס מבלי שהיה זכאי לעשות 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על פי סעיף </w:t>
      </w:r>
      <w:r>
        <w:rPr>
          <w:sz w:val="24"/>
          <w:szCs w:val="24"/>
        </w:rPr>
        <w:t>117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)(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</w:t>
      </w:r>
      <w:hyperlink r:id="rId7">
        <w:r>
          <w:rPr>
            <w:rStyle w:val="Hyperlink"/>
            <w:sz w:val="24"/>
            <w:sz w:val="24"/>
            <w:szCs w:val="24"/>
            <w:rtl w:val="true"/>
          </w:rPr>
          <w:t>חוק מס ערך מוסף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1975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:"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 xml:space="preserve">ובביצוע ארבע עבירות של </w:t>
      </w:r>
      <w:r>
        <w:rPr>
          <w:b/>
          <w:b/>
          <w:bCs/>
          <w:sz w:val="24"/>
          <w:sz w:val="24"/>
          <w:szCs w:val="24"/>
          <w:rtl w:val="true"/>
        </w:rPr>
        <w:t>שימוש בכל מרמה או תחבולה במטרה להתחמק ממס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על פי סעיף </w:t>
      </w:r>
      <w:r>
        <w:rPr>
          <w:sz w:val="24"/>
          <w:szCs w:val="24"/>
        </w:rPr>
        <w:t>117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)(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>.</w:t>
      </w:r>
      <w:bookmarkStart w:id="18" w:name="ABSTRACT_END"/>
      <w:bookmarkEnd w:id="18"/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כמו כן הורשעו הנאשם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והנאשמת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בביצוע שתי עבירות של </w:t>
      </w:r>
      <w:r>
        <w:rPr>
          <w:b/>
          <w:b/>
          <w:bCs/>
          <w:sz w:val="24"/>
          <w:sz w:val="24"/>
          <w:szCs w:val="24"/>
          <w:rtl w:val="true"/>
        </w:rPr>
        <w:t xml:space="preserve">ניכוי מס תשומות בלי שיש לגביו מסמך כדין </w:t>
      </w:r>
      <w:r>
        <w:rPr>
          <w:sz w:val="24"/>
          <w:sz w:val="24"/>
          <w:szCs w:val="24"/>
          <w:rtl w:val="true"/>
        </w:rPr>
        <w:t xml:space="preserve">כאמור בסעיף </w:t>
      </w:r>
      <w:r>
        <w:rPr>
          <w:sz w:val="24"/>
          <w:szCs w:val="24"/>
        </w:rPr>
        <w:t>38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במטרה להתחמק או להשתמט מתשלום מס</w:t>
      </w:r>
      <w:r>
        <w:rPr>
          <w:b/>
          <w:bCs/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על פי סעיף </w:t>
      </w:r>
      <w:r>
        <w:rPr>
          <w:sz w:val="24"/>
          <w:szCs w:val="24"/>
        </w:rPr>
        <w:t>117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)(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 xml:space="preserve">לחוק ביחד עם סעיף </w:t>
      </w:r>
      <w:r>
        <w:rPr>
          <w:sz w:val="24"/>
          <w:szCs w:val="24"/>
        </w:rPr>
        <w:t>119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רשום בעבר כעוסק מורשה</w:t>
      </w:r>
      <w:r>
        <w:rPr>
          <w:rtl w:val="true"/>
        </w:rPr>
        <w:t xml:space="preserve">, </w:t>
      </w:r>
      <w:r>
        <w:rPr>
          <w:rtl w:val="true"/>
        </w:rPr>
        <w:t xml:space="preserve">ובשנת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הודיע על סגירת תיקו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 xml:space="preserve">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הינה חברה שעסקה בגיוס עובדים ואספקת כוח אדם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היה מנהלה הפעיל של הנאשמת </w:t>
      </w:r>
      <w:r>
        <w:rPr/>
        <w:t>2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 xml:space="preserve">בתקופה שבין </w:t>
      </w:r>
      <w:r>
        <w:rPr/>
        <w:t>12/1999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06/2001</w:t>
      </w:r>
      <w:r>
        <w:rPr>
          <w:rtl w:val="true"/>
        </w:rPr>
        <w:t xml:space="preserve"> </w:t>
      </w:r>
      <w:r>
        <w:rPr>
          <w:rtl w:val="true"/>
        </w:rPr>
        <w:t>הוציא הנאשם ארבע חשבוניות מס על שמו</w:t>
      </w:r>
      <w:r>
        <w:rPr>
          <w:rtl w:val="true"/>
        </w:rPr>
        <w:t xml:space="preserve">, </w:t>
      </w:r>
      <w:r>
        <w:rPr>
          <w:rtl w:val="true"/>
        </w:rPr>
        <w:t xml:space="preserve">מתיקו הפרטי שנסגר כאמור כבר בשנת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 xml:space="preserve">שתיים לנאשמת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ושתיים לחברת </w:t>
      </w:r>
      <w:r>
        <w:rPr>
          <w:rtl w:val="true"/>
        </w:rPr>
        <w:t>"</w:t>
      </w:r>
      <w:r>
        <w:rPr>
          <w:rtl w:val="true"/>
        </w:rPr>
        <w:t>בני חליל סלימאן</w:t>
      </w:r>
      <w:r>
        <w:rPr>
          <w:rtl w:val="true"/>
        </w:rPr>
        <w:t xml:space="preserve">", </w:t>
      </w:r>
      <w:r>
        <w:rPr>
          <w:rtl w:val="true"/>
        </w:rPr>
        <w:t xml:space="preserve">בסך כולל של </w:t>
      </w:r>
      <w:r>
        <w:rPr/>
        <w:t>1,498,000</w:t>
      </w:r>
      <w:r>
        <w:rPr>
          <w:rtl w:val="true"/>
        </w:rPr>
        <w:t xml:space="preserve"> ₪ </w:t>
      </w:r>
      <w:r>
        <w:rPr>
          <w:rtl w:val="true"/>
        </w:rPr>
        <w:t xml:space="preserve">והמס בגינן הינו בסך של </w:t>
      </w:r>
      <w:r>
        <w:rPr/>
        <w:t>254,660</w:t>
      </w:r>
      <w:r>
        <w:rPr>
          <w:rtl w:val="true"/>
        </w:rPr>
        <w:t xml:space="preserve"> ₪.</w:t>
      </w:r>
    </w:p>
    <w:p>
      <w:pPr>
        <w:pStyle w:val="BodyText"/>
        <w:ind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דיווח למאשימה על חשבוניות אלו ולא שילם את המס בגינן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הנאשמת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ניכתה מס תשומות בסך של </w:t>
      </w:r>
      <w:r>
        <w:rPr/>
        <w:t>178,160</w:t>
      </w:r>
      <w:r>
        <w:rPr>
          <w:rtl w:val="true"/>
        </w:rPr>
        <w:t xml:space="preserve"> ₪ </w:t>
      </w:r>
      <w:r>
        <w:rPr>
          <w:rtl w:val="true"/>
        </w:rPr>
        <w:t>בגין שתי החשבוניות שקיבלה מהנאשם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  <w:u w:val="single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טיעונים לעונש</w:t>
      </w:r>
      <w:r>
        <w:rPr>
          <w:sz w:val="24"/>
          <w:szCs w:val="24"/>
          <w:u w:val="single"/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  <w:t>התובע טען כי המדובר בעבירות חמורות שנעשו בכוונה להשתמט מתשלום מס כדין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נכון להיום</w:t>
      </w:r>
      <w:r>
        <w:rPr>
          <w:rtl w:val="true"/>
        </w:rPr>
        <w:t xml:space="preserve">, </w:t>
      </w:r>
      <w:r>
        <w:rPr>
          <w:rtl w:val="true"/>
        </w:rPr>
        <w:t>המחדלים נשוא האישום לא הוסרו ולא נעשה דבר להסרתם</w:t>
      </w:r>
      <w:r>
        <w:rPr>
          <w:rtl w:val="true"/>
        </w:rPr>
        <w:t xml:space="preserve">, </w:t>
      </w:r>
      <w:r>
        <w:rPr>
          <w:rtl w:val="true"/>
        </w:rPr>
        <w:t>כאשר על פי רישומי מע</w:t>
      </w:r>
      <w:r>
        <w:rPr>
          <w:rtl w:val="true"/>
        </w:rPr>
        <w:t>"</w:t>
      </w:r>
      <w:r>
        <w:rPr>
          <w:rtl w:val="true"/>
        </w:rPr>
        <w:t xml:space="preserve">מ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בתיקו הפרטי יתרת חוב משוערכת בסך </w:t>
      </w:r>
      <w:r>
        <w:rPr/>
        <w:t>917,186</w:t>
      </w:r>
      <w:r>
        <w:rPr>
          <w:rtl w:val="true"/>
        </w:rPr>
        <w:t xml:space="preserve"> ₪ </w:t>
      </w:r>
      <w:r>
        <w:rPr>
          <w:rtl w:val="true"/>
        </w:rPr>
        <w:t xml:space="preserve">ולנאשמת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יתרת חוב משוערכת בסך </w:t>
      </w:r>
      <w:r>
        <w:rPr/>
        <w:t>735,260</w:t>
      </w:r>
      <w:r>
        <w:rPr>
          <w:rtl w:val="true"/>
        </w:rPr>
        <w:t xml:space="preserve"> ₪.   </w:t>
      </w:r>
    </w:p>
    <w:p>
      <w:pPr>
        <w:pStyle w:val="BodyText"/>
        <w:ind w:end="0"/>
        <w:jc w:val="both"/>
        <w:rPr/>
      </w:pPr>
      <w:r>
        <w:rPr>
          <w:rtl w:val="true"/>
        </w:rPr>
        <w:t>הנאשם מוכר היטב לרשויות מע</w:t>
      </w:r>
      <w:r>
        <w:rPr>
          <w:rtl w:val="true"/>
        </w:rPr>
        <w:t>"</w:t>
      </w:r>
      <w:r>
        <w:rPr>
          <w:rtl w:val="true"/>
        </w:rPr>
        <w:t>מ בשל עברו הפלילי בעבירות מסוג זה</w:t>
      </w:r>
      <w:r>
        <w:rPr>
          <w:rtl w:val="true"/>
        </w:rPr>
        <w:t xml:space="preserve">. </w:t>
      </w:r>
      <w:r>
        <w:rPr>
          <w:rtl w:val="true"/>
        </w:rPr>
        <w:t>הנאשם הורשע בעבר בעבירות מס ונגזרו עליו עונשי מאסר על תנאי וקנסות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התביעה ביקש להטיל על הנאשם עונש שישקף חומרת מעשיו וטען כי אין להתחשב בנסיבותיו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במצבו המשפחתי</w:t>
      </w:r>
      <w:r>
        <w:rPr>
          <w:rtl w:val="true"/>
        </w:rPr>
        <w:t xml:space="preserve">, </w:t>
      </w:r>
      <w:r>
        <w:rPr>
          <w:rtl w:val="true"/>
        </w:rPr>
        <w:t>במצבו הכלכלי ואף לא במצב בריאותו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התביעה ביקש להטיל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 בפועל לתקופה ארוכה שתשקף חומרת העבירות והיקפן</w:t>
      </w:r>
      <w:r>
        <w:rPr>
          <w:rtl w:val="true"/>
        </w:rPr>
        <w:t xml:space="preserve">, </w:t>
      </w:r>
      <w:r>
        <w:rPr>
          <w:rtl w:val="true"/>
        </w:rPr>
        <w:t>מאסר על תנאי ממושך ומרתיע וקנס כספי גבוה</w:t>
      </w:r>
      <w:r>
        <w:rPr>
          <w:rtl w:val="true"/>
        </w:rPr>
        <w:t xml:space="preserve">. </w:t>
      </w:r>
      <w:r>
        <w:rPr>
          <w:rtl w:val="true"/>
        </w:rPr>
        <w:t xml:space="preserve">לגבי הנאשמת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שאינה פעילה עוד</w:t>
      </w:r>
      <w:r>
        <w:rPr>
          <w:rtl w:val="true"/>
        </w:rPr>
        <w:t xml:space="preserve">, </w:t>
      </w:r>
      <w:r>
        <w:rPr>
          <w:rtl w:val="true"/>
        </w:rPr>
        <w:t>ביקש להטיל קנס</w:t>
      </w:r>
      <w:r>
        <w:rPr>
          <w:rtl w:val="true"/>
        </w:rPr>
        <w:t>.</w:t>
      </w:r>
    </w:p>
    <w:p>
      <w:pPr>
        <w:pStyle w:val="BodyText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 xml:space="preserve">הסנגור טען כי העבירות בוצעו בין השנים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חלפו זמן רב ועל כן העונש מאבד מכוחו ההרתעתי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כמו כן טען כי בטרם ההקראה פנה הנאשם אין ספור פעמים למאשימה על מנת להגיע להסדר</w:t>
      </w:r>
      <w:r>
        <w:rPr>
          <w:rtl w:val="true"/>
        </w:rPr>
        <w:t xml:space="preserve">, </w:t>
      </w:r>
      <w:r>
        <w:rPr>
          <w:rtl w:val="true"/>
        </w:rPr>
        <w:t>אולם זה נדחה ואף מכתבים שנשלחו לרשויות המס על מנת לברר גובה החוב לא נענו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הוכרז כפושט רגל משנת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התביעה לא הגישה תביעת חוב במסגרת תיק הפש</w:t>
      </w:r>
      <w:r>
        <w:rPr>
          <w:rtl w:val="true"/>
        </w:rPr>
        <w:t>"</w:t>
      </w:r>
      <w:r>
        <w:rPr>
          <w:rtl w:val="true"/>
        </w:rPr>
        <w:t>ר ועל כן ניתן לראות בה כמי שוויתרה על החוב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עוד הוסיף הסנגור וטען</w:t>
      </w:r>
      <w:r>
        <w:rPr>
          <w:rtl w:val="true"/>
        </w:rPr>
        <w:t xml:space="preserve">, </w:t>
      </w:r>
      <w:r>
        <w:rPr>
          <w:rtl w:val="true"/>
        </w:rPr>
        <w:t>כי הנאשם סובל ממצוקה כלכלית קשה וסמוך אל שולחן בניו העובדים</w:t>
      </w:r>
      <w:r>
        <w:rPr>
          <w:rtl w:val="true"/>
        </w:rPr>
        <w:t xml:space="preserve">. </w:t>
      </w:r>
      <w:r>
        <w:rPr>
          <w:rtl w:val="true"/>
        </w:rPr>
        <w:t>כמו כן מצבו הבריאותי של הנאשם לקוי</w:t>
      </w:r>
      <w:r>
        <w:rPr>
          <w:rtl w:val="true"/>
        </w:rPr>
        <w:t xml:space="preserve">, </w:t>
      </w:r>
      <w:r>
        <w:rPr>
          <w:rtl w:val="true"/>
        </w:rPr>
        <w:t>הוא סובל מבעיות לב</w:t>
      </w:r>
      <w:r>
        <w:rPr>
          <w:rtl w:val="true"/>
        </w:rPr>
        <w:t xml:space="preserve">, </w:t>
      </w:r>
      <w:r>
        <w:rPr>
          <w:rtl w:val="true"/>
        </w:rPr>
        <w:t>סכרת ולחץ דם גבוה</w:t>
      </w:r>
      <w:r>
        <w:rPr>
          <w:rtl w:val="true"/>
        </w:rPr>
        <w:t xml:space="preserve">. </w:t>
      </w:r>
      <w:r>
        <w:rPr>
          <w:rtl w:val="true"/>
        </w:rPr>
        <w:t>הוגשו מסמכים רפואיים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לדברי הסנגור</w:t>
      </w:r>
      <w:r>
        <w:rPr>
          <w:rtl w:val="true"/>
        </w:rPr>
        <w:t xml:space="preserve">, </w:t>
      </w:r>
      <w:r>
        <w:rPr>
          <w:rtl w:val="true"/>
        </w:rPr>
        <w:t>הנאשם מנהל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לא עבר עבירות מס מאז שנת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לאור כל האמור לעיל ביקש הסנגור שלא למצות את הדין עם הנאשם ואם יוטל עליו עונש מאסר בפועל</w:t>
      </w:r>
      <w:r>
        <w:rPr>
          <w:rtl w:val="true"/>
        </w:rPr>
        <w:t xml:space="preserve">, </w:t>
      </w:r>
      <w:r>
        <w:rPr>
          <w:rtl w:val="true"/>
        </w:rPr>
        <w:t>ביקש לאפשר לנאשם לרצותו בדרך של עבודות שירות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הנאשם טען בעצמו כי היה מספר פעמים במשרדי מע</w:t>
      </w:r>
      <w:r>
        <w:rPr>
          <w:rtl w:val="true"/>
        </w:rPr>
        <w:t>"</w:t>
      </w:r>
      <w:r>
        <w:rPr>
          <w:rtl w:val="true"/>
        </w:rPr>
        <w:t>מ וביקש לברר יתרת חובו אולם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לא נענה ועד היום אינו יודע כמה עליו לשלם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b/>
          <w:bCs/>
          <w:sz w:val="24"/>
          <w:szCs w:val="24"/>
          <w:u w:val="single"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  <w:t>המדובר בעבירות של הוצאת ארבע חשבוניות מס מתיק סגור</w:t>
      </w:r>
      <w:r>
        <w:rPr>
          <w:rtl w:val="true"/>
        </w:rPr>
        <w:t xml:space="preserve">, </w:t>
      </w:r>
      <w:r>
        <w:rPr>
          <w:rtl w:val="true"/>
        </w:rPr>
        <w:t xml:space="preserve">אותו סגר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בעצמו מספר שנים קודם לכן</w:t>
      </w:r>
      <w:r>
        <w:rPr>
          <w:rtl w:val="true"/>
        </w:rPr>
        <w:t xml:space="preserve">, </w:t>
      </w:r>
      <w:r>
        <w:rPr>
          <w:rtl w:val="true"/>
        </w:rPr>
        <w:t>וזאת מבלי לדווח לרשויות על הוצאת החשבוניות ומבלי לשלם מס בגינן</w:t>
      </w:r>
      <w:r>
        <w:rPr>
          <w:rtl w:val="true"/>
        </w:rPr>
        <w:t xml:space="preserve">. </w:t>
      </w:r>
      <w:r>
        <w:rPr>
          <w:rtl w:val="true"/>
        </w:rPr>
        <w:t xml:space="preserve">שתיים מהחשבוניות הוציא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לנאשמת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חברה אותה ניהל באותה עת</w:t>
      </w:r>
      <w:r>
        <w:rPr>
          <w:rtl w:val="true"/>
        </w:rPr>
        <w:t xml:space="preserve">.  </w:t>
      </w:r>
      <w:r>
        <w:rPr>
          <w:rtl w:val="true"/>
        </w:rPr>
        <w:t xml:space="preserve">הנאשמת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באמצעות הנאשם</w:t>
      </w:r>
      <w:r>
        <w:rPr>
          <w:rtl w:val="true"/>
        </w:rPr>
        <w:t xml:space="preserve">, </w:t>
      </w:r>
      <w:r>
        <w:rPr>
          <w:rtl w:val="true"/>
        </w:rPr>
        <w:t xml:space="preserve">אף ניכתה מס תשומות בסך של </w:t>
      </w:r>
      <w:r>
        <w:rPr/>
        <w:t>178,160</w:t>
      </w:r>
      <w:r>
        <w:rPr>
          <w:rtl w:val="true"/>
        </w:rPr>
        <w:t xml:space="preserve"> ₪ </w:t>
      </w:r>
      <w:r>
        <w:rPr>
          <w:rtl w:val="true"/>
        </w:rPr>
        <w:t>בגין שתי החשבוניות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למעשה הנאשם גרם ל</w:t>
      </w:r>
      <w:r>
        <w:rPr>
          <w:rtl w:val="true"/>
        </w:rPr>
        <w:t>"</w:t>
      </w:r>
      <w:r>
        <w:rPr>
          <w:rtl w:val="true"/>
        </w:rPr>
        <w:t>ניפוח</w:t>
      </w:r>
      <w:r>
        <w:rPr>
          <w:rtl w:val="true"/>
        </w:rPr>
        <w:t xml:space="preserve">" </w:t>
      </w:r>
      <w:r>
        <w:rPr>
          <w:rtl w:val="true"/>
        </w:rPr>
        <w:t>ההוצאות המדווחות לשלטונות המס וקיזוזן עם כספי מע</w:t>
      </w:r>
      <w:r>
        <w:rPr>
          <w:rtl w:val="true"/>
        </w:rPr>
        <w:t>"</w:t>
      </w:r>
      <w:r>
        <w:rPr>
          <w:rtl w:val="true"/>
        </w:rPr>
        <w:t xml:space="preserve">ם שהגיעו לידיו </w:t>
      </w:r>
      <w:r>
        <w:rPr>
          <w:rtl w:val="true"/>
        </w:rPr>
        <w:t xml:space="preserve">, </w:t>
      </w:r>
      <w:r>
        <w:rPr>
          <w:rtl w:val="true"/>
        </w:rPr>
        <w:t>תוך שימוש בחשבוניות כוזבות מתיק סגור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עבירות 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עבירות חמורות הן</w:t>
      </w:r>
      <w:r>
        <w:rPr>
          <w:rtl w:val="true"/>
        </w:rPr>
        <w:t xml:space="preserve">. </w:t>
      </w:r>
      <w:r>
        <w:rPr>
          <w:rtl w:val="true"/>
        </w:rPr>
        <w:t>בית המשפט העליון הגדירן לא אחת כהכנסת יד לכיסה של המדינה</w:t>
      </w:r>
      <w:r>
        <w:rPr>
          <w:rtl w:val="true"/>
        </w:rPr>
        <w:t xml:space="preserve">, </w:t>
      </w:r>
      <w:r>
        <w:rPr>
          <w:rtl w:val="true"/>
        </w:rPr>
        <w:t xml:space="preserve">שהרי עברייני המס </w:t>
      </w:r>
      <w:r>
        <w:rPr>
          <w:rtl w:val="true"/>
        </w:rPr>
        <w:t>"</w:t>
      </w:r>
      <w:r>
        <w:rPr>
          <w:rtl w:val="true"/>
        </w:rPr>
        <w:t>בוחרים</w:t>
      </w:r>
      <w:r>
        <w:rPr>
          <w:rtl w:val="true"/>
        </w:rPr>
        <w:t xml:space="preserve">" </w:t>
      </w:r>
      <w:r>
        <w:rPr>
          <w:rtl w:val="true"/>
        </w:rPr>
        <w:t>להשאיר בידם כסף שהופקד אצלם במעין נאמנות עבור המדינה</w:t>
      </w:r>
      <w:r>
        <w:rPr>
          <w:rtl w:val="true"/>
        </w:rPr>
        <w:t xml:space="preserve">. </w:t>
      </w:r>
      <w:r>
        <w:rPr>
          <w:rtl w:val="true"/>
        </w:rPr>
        <w:t>על כן נקבע שיש להחמיר עם נאשמים אשר עושים רווח לעצמם ע</w:t>
      </w:r>
      <w:r>
        <w:rPr>
          <w:rtl w:val="true"/>
        </w:rPr>
        <w:t>"</w:t>
      </w:r>
      <w:r>
        <w:rPr>
          <w:rtl w:val="true"/>
        </w:rPr>
        <w:t>י אי</w:t>
      </w:r>
      <w:r>
        <w:rPr>
          <w:rtl w:val="true"/>
        </w:rPr>
        <w:t>-</w:t>
      </w:r>
      <w:r>
        <w:rPr>
          <w:rtl w:val="true"/>
        </w:rPr>
        <w:t>העברת הכספים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בית המשפט העליון בפסיקה עקבית ומתמשכת לאורך השנים התווה מדיניות ענישה מחמירה שתרתיע בעלי עסקים מלעבור עבירות אלו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522/82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סעיד בן מוחמד עאזם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נקבע ע</w:t>
      </w:r>
      <w:r>
        <w:rPr>
          <w:rtl w:val="true"/>
        </w:rPr>
        <w:t>"</w:t>
      </w:r>
      <w:r>
        <w:rPr>
          <w:rtl w:val="true"/>
        </w:rPr>
        <w:t>י כב</w:t>
      </w:r>
      <w:r>
        <w:rPr>
          <w:rtl w:val="true"/>
        </w:rPr>
        <w:t xml:space="preserve">' </w:t>
      </w:r>
      <w:r>
        <w:rPr>
          <w:rtl w:val="true"/>
        </w:rPr>
        <w:t>השופט ד</w:t>
      </w:r>
      <w:r>
        <w:rPr>
          <w:rtl w:val="true"/>
        </w:rPr>
        <w:t xml:space="preserve">. </w:t>
      </w:r>
      <w:r>
        <w:rPr>
          <w:rtl w:val="true"/>
        </w:rPr>
        <w:t>לוין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120" w:after="0"/>
        <w:ind w:start="1134" w:end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השתרשה בתודעתם של אזרחים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הגונים ושומרי חוק בדרך כלל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כי לא הרי הדין הפיסקאלי כדין הנורמאטיבי הרגיל</w:t>
      </w:r>
      <w:r>
        <w:rPr>
          <w:b/>
          <w:bCs/>
          <w:sz w:val="24"/>
          <w:szCs w:val="24"/>
          <w:rtl w:val="true"/>
        </w:rPr>
        <w:t xml:space="preserve">... </w:t>
      </w:r>
      <w:r>
        <w:rPr>
          <w:b/>
          <w:b/>
          <w:bCs/>
          <w:sz w:val="24"/>
          <w:sz w:val="24"/>
          <w:szCs w:val="24"/>
          <w:rtl w:val="true"/>
        </w:rPr>
        <w:t>אלה גם אלה חטאם רב הוא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ואלה גם אלה ראויים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בנסיבות המתאימות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למיצוי הדין הן בעונשי מאסר ממשיים והן בקנסות כספיים מכבידים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יתרה מזו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הודגש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כי עברייני מס ראוי שיוקיעו אותם אל עמוד הקלון לא פחות מאותם עבריינים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החוטאים לחברה בפגיעה ברכוש הזולת ובגזילתו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שאותן הכול מגנים</w:t>
      </w:r>
      <w:r>
        <w:rPr>
          <w:b/>
          <w:bCs/>
          <w:sz w:val="24"/>
          <w:szCs w:val="24"/>
          <w:rtl w:val="true"/>
        </w:rPr>
        <w:t xml:space="preserve">.". </w:t>
      </w:r>
    </w:p>
    <w:p>
      <w:pPr>
        <w:pStyle w:val="BodyText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חומרתן של עבירות המס נקבעה שוב בבית המשפט העליון ב</w:t>
      </w:r>
      <w:hyperlink r:id="rId9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sz w:val="24"/>
            <w:szCs w:val="24"/>
          </w:rPr>
          <w:t>512/04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מוחמד בן נבהאן אבו עבייד ואח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 w:before="120" w:after="0"/>
        <w:ind w:start="1134" w:end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"  </w:t>
      </w:r>
      <w:r>
        <w:rPr>
          <w:b/>
          <w:b/>
          <w:bCs/>
          <w:sz w:val="24"/>
          <w:sz w:val="24"/>
          <w:szCs w:val="24"/>
          <w:rtl w:val="true"/>
        </w:rPr>
        <w:t>בית משפט זה חזר והדגיש לאורך השנים את החומרה שבה יש להתייחס לעבריינות כלכלית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ועבריינות מס בכלל זה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נוכח תוצאותיה ההרסניות למשק ולכלכלה ולמירקם החברתי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ופגיעתה הקשה בערך השוויון בנשיאת נטל חובות המס הנדרש לצורך מימון צרכיה של החברה ופעילותן התקינה של הרשויות הציבוריות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העבריינות הכלכלית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ועבריינות המס בכללה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איננה מסתכמת אך בגריעת כספים מקופת המדינה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היא פוגעת בתודעת האחריות המשותפת של אזרחי המדינה לנשיאה שוויוניות בעול הכספי הנדרש לסיפוק צורכי החברה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ובתשתית האימון הנדרשת בין הציבור לבין השלטון האחראי לאכיפה שוויונית של גביית המס – פגיעה הנעשית לרוב באמצעי מרמה מתוחכמים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קשים לאיתור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כבר נאמר לא אחת בפסיקת בית משפט זה כי על מדיניות הענישה לשקף את הסכנה הגדולה הטמונה בעבריינות הכלכלית לפרט ולציבור כאחד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 xml:space="preserve">ואת יסוד ההרתעה הנדרש ביחס לביצועה </w:t>
      </w:r>
      <w:r>
        <w:rPr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 w:before="120" w:after="0"/>
        <w:ind w:start="1134" w:end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למעשה קיים קושי רב בגילוי עבירות מס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 כל המעורבים הינם בעלי אינטרס שלא לגלות את העבירות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יש לשקול ענישה מכאיבה שיש בה כדי להרתיע עבריינים בכח למול הפיתוי לרווחים קלים ומהירים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 למול הסיכוי הקלוש להיתפס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וכך נקבע 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 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הנשיא ברק ב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sz w:val="24"/>
            <w:szCs w:val="24"/>
          </w:rPr>
          <w:t>624/80</w:t>
        </w:r>
        <w:r>
          <w:rPr>
            <w:rStyle w:val="Hyperlink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חברת וייס ארנסט נ</w:t>
        </w:r>
        <w:r>
          <w:rPr>
            <w:rStyle w:val="Hyperlink"/>
            <w:sz w:val="24"/>
            <w:szCs w:val="24"/>
            <w:rtl w:val="true"/>
          </w:rPr>
          <w:t xml:space="preserve">' </w:t>
        </w:r>
        <w:r>
          <w:rPr>
            <w:rStyle w:val="Hyperlink"/>
            <w:sz w:val="24"/>
            <w:sz w:val="24"/>
            <w:szCs w:val="24"/>
            <w:rtl w:val="true"/>
          </w:rPr>
          <w:t>מדינת ישראל  פ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ד לה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218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 w:before="120" w:after="0"/>
        <w:ind w:start="1134" w:end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" </w:t>
      </w:r>
      <w:r>
        <w:rPr>
          <w:b/>
          <w:b/>
          <w:bCs/>
          <w:sz w:val="24"/>
          <w:sz w:val="24"/>
          <w:szCs w:val="24"/>
          <w:rtl w:val="true"/>
        </w:rPr>
        <w:t>בהטלת עונשי מאסר אלה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מביעה החברה המאורגנת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את סלידתה מהתנהגותם העבריינית של מעלימי המס ומטביעה עליהם אות של קלון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יידעו נא עברייני הצווארון הלבן כי צווארונו של עושה העבירה הזו אינו לבן והרי הוא כצווארונו של כל פורץ ושודד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 xml:space="preserve">שהאחד שודד את קופתה של המדינה והאחד שודד את קופתו של הפרט </w:t>
      </w:r>
      <w:r>
        <w:rPr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 נקבע ב</w:t>
      </w:r>
      <w:hyperlink r:id="rId11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sz w:val="24"/>
            <w:szCs w:val="24"/>
          </w:rPr>
          <w:t>3641/06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ר מנחם צ</w:t>
      </w:r>
      <w:r>
        <w:rPr>
          <w:b/>
          <w:bCs/>
          <w:sz w:val="24"/>
          <w:szCs w:val="24"/>
          <w:rtl w:val="true"/>
        </w:rPr>
        <w:t>'</w:t>
      </w:r>
      <w:r>
        <w:rPr>
          <w:b/>
          <w:b/>
          <w:bCs/>
          <w:sz w:val="24"/>
          <w:sz w:val="24"/>
          <w:szCs w:val="24"/>
          <w:rtl w:val="true"/>
        </w:rPr>
        <w:t>צ</w:t>
      </w:r>
      <w:r>
        <w:rPr>
          <w:b/>
          <w:bCs/>
          <w:sz w:val="24"/>
          <w:szCs w:val="24"/>
          <w:rtl w:val="true"/>
        </w:rPr>
        <w:t>'</w:t>
      </w:r>
      <w:r>
        <w:rPr>
          <w:b/>
          <w:b/>
          <w:bCs/>
          <w:sz w:val="24"/>
          <w:sz w:val="24"/>
          <w:szCs w:val="24"/>
          <w:rtl w:val="true"/>
        </w:rPr>
        <w:t>קס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 w:before="120" w:after="0"/>
        <w:ind w:start="1134" w:end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"...</w:t>
      </w:r>
      <w:r>
        <w:rPr>
          <w:b/>
          <w:b/>
          <w:bCs/>
          <w:sz w:val="24"/>
          <w:sz w:val="24"/>
          <w:szCs w:val="24"/>
          <w:rtl w:val="true"/>
        </w:rPr>
        <w:t>העבריינות הכלכלית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ועבריינות המס בכללה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איננה מסתכמת אך בגריעת כספים מקופת המדינה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היא פוגעת בתודעת האחריות המשותפת של אזרחי המדינה לנשיאה שוויונית בעול הכספי הנדרש לסיפוק צורכי החברה</w:t>
      </w:r>
      <w:r>
        <w:rPr>
          <w:b/>
          <w:bCs/>
          <w:sz w:val="24"/>
          <w:szCs w:val="24"/>
          <w:rtl w:val="true"/>
        </w:rPr>
        <w:t>"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יש להבהיר אף לעברייני מס כי אין כדאיות כלכלית במעשיהם הנלוזים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 כן העונשים המועדפים בעבירות אלה יהיו מאסר בפועל מאחורי סורג  ובריח וכן קנסות גבוהים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וכפי שנקבע רק לאחרונה ב</w:t>
      </w:r>
      <w:hyperlink r:id="rId12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sz w:val="24"/>
            <w:szCs w:val="24"/>
          </w:rPr>
          <w:t>254/06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רומל קעדאן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מפי כבוד השופט 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ובראן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 w:before="120" w:after="0"/>
        <w:ind w:start="926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ההחמרה בענישה על עבירות מס נועדה בראש ובראשונה לשמש כאמצעי הרתעתי כלפי כולי עלמא מפני ביצוע עבירות אלו בעתיד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כמו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כן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מטרתה לבטא את הגמול ההולם על הנזק הרב שמסיבות העבירות האמורות לקופת הציבור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 w:before="120" w:after="0"/>
        <w:ind w:start="1134" w:end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hyperlink r:id="rId13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sz w:val="24"/>
            <w:szCs w:val="24"/>
          </w:rPr>
          <w:t>10744/05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משה ביטון</w:t>
      </w:r>
      <w:r>
        <w:rPr>
          <w:sz w:val="24"/>
          <w:sz w:val="24"/>
          <w:szCs w:val="24"/>
          <w:rtl w:val="true"/>
        </w:rPr>
        <w:t xml:space="preserve"> נקבע כי עונש של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 מאסר 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וקנס בסך של </w:t>
      </w:r>
      <w:r>
        <w:rPr>
          <w:sz w:val="24"/>
          <w:szCs w:val="24"/>
        </w:rPr>
        <w:t>50,000</w:t>
      </w:r>
      <w:r>
        <w:rPr>
          <w:sz w:val="24"/>
          <w:szCs w:val="24"/>
          <w:rtl w:val="true"/>
        </w:rPr>
        <w:t xml:space="preserve"> ₪ "</w:t>
      </w:r>
      <w:r>
        <w:rPr>
          <w:b/>
          <w:b/>
          <w:bCs/>
          <w:sz w:val="24"/>
          <w:sz w:val="24"/>
          <w:szCs w:val="24"/>
          <w:rtl w:val="true"/>
        </w:rPr>
        <w:t>אינו חורג ממתחם הענישה המקובל בעבירות מהסוג שביצע ונסיבות המקרה אינן מצדיקות התערבות בית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משפט זה</w:t>
      </w:r>
      <w:r>
        <w:rPr>
          <w:b/>
          <w:bCs/>
          <w:sz w:val="24"/>
          <w:szCs w:val="24"/>
          <w:rtl w:val="true"/>
        </w:rPr>
        <w:t xml:space="preserve">." </w:t>
      </w:r>
      <w:r>
        <w:rPr>
          <w:sz w:val="24"/>
          <w:sz w:val="24"/>
          <w:szCs w:val="24"/>
          <w:rtl w:val="true"/>
        </w:rPr>
        <w:t xml:space="preserve">וכי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בעבירות כלכליות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בהן על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פי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רוב מדובר בהרשעתו הראשונה של האדם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גובר משקלו של השיקול ההרתעתי על משקלן של נסיבותיו האישיות של האדם שדינו נגזר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 </w:t>
        </w:r>
        <w:r>
          <w:rPr>
            <w:rStyle w:val="Hyperlink"/>
            <w:sz w:val="24"/>
            <w:szCs w:val="24"/>
          </w:rPr>
          <w:t>113/06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מאיר טוללה</w:t>
      </w:r>
      <w:r>
        <w:rPr>
          <w:sz w:val="24"/>
          <w:sz w:val="24"/>
          <w:szCs w:val="24"/>
          <w:rtl w:val="true"/>
        </w:rPr>
        <w:t xml:space="preserve"> נקבע כי עונש של שנה מאסר 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וקנס בסך </w:t>
      </w:r>
      <w:r>
        <w:rPr>
          <w:sz w:val="24"/>
          <w:szCs w:val="24"/>
        </w:rPr>
        <w:t>40,000</w:t>
      </w:r>
      <w:r>
        <w:rPr>
          <w:sz w:val="24"/>
          <w:szCs w:val="24"/>
          <w:rtl w:val="true"/>
        </w:rPr>
        <w:t xml:space="preserve"> ₪ :"</w:t>
      </w:r>
      <w:r>
        <w:rPr>
          <w:b/>
          <w:b/>
          <w:bCs/>
          <w:sz w:val="24"/>
          <w:sz w:val="24"/>
          <w:szCs w:val="24"/>
          <w:rtl w:val="true"/>
        </w:rPr>
        <w:t>אינו חורג מרמת הענישה המקובלת בנסיבות דומות</w:t>
      </w:r>
      <w:r>
        <w:rPr>
          <w:sz w:val="24"/>
          <w:szCs w:val="24"/>
          <w:rtl w:val="true"/>
        </w:rPr>
        <w:t>".</w:t>
      </w:r>
    </w:p>
    <w:p>
      <w:pPr>
        <w:pStyle w:val="Normal"/>
        <w:spacing w:lineRule="auto" w:line="360" w:before="120" w:after="0"/>
        <w:ind w:start="1134" w:end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נראה על כן כי אין לתת משמעות יתרה לעניין קיומן של נסיבות אישיות וכלכליות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ומשקלן של אלו בקביעת העונש נקבע ב</w:t>
      </w:r>
      <w:hyperlink r:id="rId15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sz w:val="24"/>
            <w:szCs w:val="24"/>
          </w:rPr>
          <w:t>6474/03</w:t>
        </w:r>
        <w:r>
          <w:rPr>
            <w:rStyle w:val="Hyperlink"/>
            <w:sz w:val="24"/>
            <w:szCs w:val="24"/>
            <w:rtl w:val="true"/>
          </w:rPr>
          <w:t xml:space="preserve">, </w:t>
        </w:r>
        <w:r>
          <w:rPr>
            <w:rStyle w:val="Hyperlink"/>
            <w:sz w:val="24"/>
            <w:sz w:val="24"/>
            <w:szCs w:val="24"/>
            <w:rtl w:val="true"/>
          </w:rPr>
          <w:t>יוסף מלכה</w:t>
        </w:r>
        <w:r>
          <w:rPr>
            <w:rStyle w:val="Hyperlink"/>
            <w:sz w:val="24"/>
            <w:szCs w:val="24"/>
            <w:rtl w:val="true"/>
          </w:rPr>
          <w:t xml:space="preserve">,  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ד נח</w:t>
        </w:r>
      </w:hyperlink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):</w:t>
      </w:r>
    </w:p>
    <w:p>
      <w:pPr>
        <w:pStyle w:val="Normal"/>
        <w:spacing w:lineRule="auto" w:line="360" w:before="120" w:after="0"/>
        <w:ind w:start="1134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עבירות המס הכלכליות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הפכו בשנים האחרונות להיות רעה חולה ומכאן יש מקום ליתן לכך משקל בענישה על הפן ההרתעתי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כך שבבוא בית המשפט לגזור את דינו של אדם אשר הורשע בעבירות מסוג זה לא ייתן משקל לנסיבות אישיות ולמצוקה כלכלית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 w:before="120" w:after="0"/>
        <w:ind w:start="1134" w:end="113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לאור כל האמור 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בבואי לגזור את 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אשקול נסיבותיו האישיות של הנאשם ואתן להן את משקלן </w:t>
      </w:r>
      <w:r>
        <w:rPr>
          <w:sz w:val="24"/>
          <w:sz w:val="24"/>
          <w:szCs w:val="24"/>
          <w:u w:val="single"/>
          <w:rtl w:val="true"/>
        </w:rPr>
        <w:t>הראוי</w:t>
      </w:r>
      <w:r>
        <w:rPr>
          <w:sz w:val="24"/>
          <w:sz w:val="24"/>
          <w:szCs w:val="24"/>
          <w:rtl w:val="true"/>
        </w:rPr>
        <w:t xml:space="preserve"> אל מול חומרתה של העבירה ונסיבות ביצועה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 שלח יד לקופה הציבורית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והחזיק תחת ידיו סכומים גדולים אשר נמנע מלהעבירם לקופת המדינה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עד היום לא הסיר הנאשם את המחדלים ולא העביר את כספי הגזלה לקופת המדינה וזאת על אף הזמן הרב שחלף ודוחה אני טענתו כאילו לא ידע מה גובה החוב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המדובר באיש עסקים ותיק וממולח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המיוצג ומקבל יעוץ משפטי מעורכי דין מהשורה הראשונה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וטענה שכזו מוטב היה לולא היתה נטענת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מעשיו של הנאשם נעשו באופן שיטתי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 הוציא תחת ידו ארבע חשבוניות שונות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 קיזז מס התשומות בגין שתיים מהחשבוניות באמצעות חברה אותה ניהל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לנאשם עבר פלילי בעבירות מס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ונראה כי עונש המאסר המותנה שהוטל עליו בעבר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 הרתיעו מלשוב ולבצע עבירות חמורות ואף בהיקף ניכר יותר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אכן יש לבחון כל מקרה לגופו ובענייננו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אתחשב בנסיבותיו האישיות של הנאשם ובמצבו הבריאותי וכן אתחשב בזמן הרב שחלף מאז ביצוע 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אולם אין לשכוח כי כתב האישום הוגש בשנת </w:t>
      </w:r>
      <w:r>
        <w:rPr>
          <w:sz w:val="24"/>
          <w:szCs w:val="24"/>
        </w:rPr>
        <w:t>2004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והנאשם בחר לנהל הוכחות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 כן אתחשב בזמן שחלף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אם כי במידה פחותה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 ששמעתי את טיעוני הצדדים ושקלתי הנסיבות לקולא ולחומרא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 מטיל עונש כדלהלן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before="120" w:after="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start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אני מטיל על הנאשם מאסר בפועל 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חודשים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אני מטיל על הנאשם מאסר על תנאי של 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 xml:space="preserve">חודשים למשך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שנים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שלא יעבור על כל עבירה מסוג פשע שב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חוק המע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אני מטיל על הנאשם קנס בסך </w:t>
      </w:r>
      <w:r>
        <w:rPr>
          <w:b/>
          <w:bCs/>
          <w:sz w:val="24"/>
          <w:szCs w:val="24"/>
        </w:rPr>
        <w:t>70,000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ח או שנה מאסר תחתיו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הקנס ישולם בעשרה תשלומים חודשיים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תשלום ראשון בעוד חודש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אני מטיל על הנאשמת קנס בסך </w:t>
      </w:r>
      <w:r>
        <w:rPr>
          <w:b/>
          <w:bCs/>
          <w:sz w:val="24"/>
          <w:szCs w:val="24"/>
        </w:rPr>
        <w:t>80,000</w:t>
      </w:r>
      <w:r>
        <w:rPr>
          <w:b/>
          <w:bCs/>
          <w:sz w:val="24"/>
          <w:szCs w:val="24"/>
          <w:rtl w:val="true"/>
        </w:rPr>
        <w:t xml:space="preserve"> ₪. </w:t>
      </w:r>
      <w:r>
        <w:rPr>
          <w:b/>
          <w:b/>
          <w:bCs/>
          <w:sz w:val="24"/>
          <w:sz w:val="24"/>
          <w:szCs w:val="24"/>
          <w:rtl w:val="true"/>
        </w:rPr>
        <w:t>מודע אני לעובדה כי קנס זה לא ייגבה וכי החברה אינה פעילה עוד</w:t>
      </w:r>
      <w:r>
        <w:rPr>
          <w:b/>
          <w:bCs/>
          <w:sz w:val="24"/>
          <w:szCs w:val="24"/>
          <w:rtl w:val="true"/>
        </w:rPr>
        <w:t>.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 w:before="120" w:after="0"/>
        <w:ind w:end="0"/>
        <w:jc w:val="both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במידה והופקדו כספים במסגרת תיק זה</w:t>
      </w:r>
      <w:r>
        <w:rPr>
          <w:sz w:val="24"/>
          <w:szCs w:val="24"/>
          <w:u w:val="single"/>
          <w:rtl w:val="true"/>
        </w:rPr>
        <w:t xml:space="preserve">, </w:t>
      </w:r>
      <w:r>
        <w:rPr>
          <w:sz w:val="24"/>
          <w:sz w:val="24"/>
          <w:szCs w:val="24"/>
          <w:u w:val="single"/>
          <w:rtl w:val="true"/>
        </w:rPr>
        <w:t>יש לקזזם עם הקנס</w:t>
      </w:r>
      <w:r>
        <w:rPr>
          <w:sz w:val="24"/>
          <w:szCs w:val="24"/>
          <w:u w:val="single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זכות ערעור תוך </w:t>
      </w:r>
      <w:r>
        <w:rPr>
          <w:b/>
          <w:bCs/>
          <w:sz w:val="24"/>
          <w:szCs w:val="24"/>
        </w:rPr>
        <w:t>45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יום מהיום בבית משפט מחוזי בנצרת</w:t>
      </w:r>
      <w:r>
        <w:rPr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&lt;&lt;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03/07/2008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David"/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rFonts w:cs="David"/>
                <w:b/>
                <w:bCs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אזולאי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סגן נשיא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b/>
          <w:b/>
          <w:bCs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לעכב ביצוע גזר הדין עד ליום  </w:t>
      </w:r>
      <w:r>
        <w:rPr>
          <w:sz w:val="24"/>
          <w:szCs w:val="24"/>
        </w:rPr>
        <w:t>14.7.2008</w:t>
      </w:r>
      <w:r>
        <w:rPr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 xml:space="preserve">בשעה </w:t>
      </w:r>
      <w:r>
        <w:rPr>
          <w:sz w:val="24"/>
          <w:szCs w:val="24"/>
        </w:rPr>
        <w:t>08.00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באותו מועד יתייצב במשטרת נצרת לתחילת ריצוי עונשו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 אם יוחלט אחרת על ידי בית המשפט המחוזי בנצרת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בית משפט השלום בנצרת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54678313-1093/04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ל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סיון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03/07/2008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David"/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rFonts w:cs="David"/>
                <w:b/>
                <w:bCs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אזולאי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סגן נשיא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&gt;&gt;&gt;</w:t>
            </w:r>
          </w:p>
        </w:tc>
      </w:tr>
    </w:tbl>
    <w:p>
      <w:pPr>
        <w:pStyle w:val="Normal"/>
        <w:ind w:end="0"/>
        <w:jc w:val="both"/>
        <w:rPr/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FrankRuehl"/>
          <w:color w:val="000000"/>
        </w:rPr>
      </w:pPr>
      <w:r>
        <w:rPr>
          <w:rFonts w:ascii="Arial" w:hAnsi="Arial" w:cs="FrankRuehl"/>
          <w:rtl w:val="true"/>
        </w:rPr>
        <w:t>הוקלד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ידי</w:t>
      </w:r>
      <w:r>
        <w:rPr>
          <w:rFonts w:cs="FrankRuehl" w:ascii="Arial" w:hAnsi="Arial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rtl w:val="true"/>
        </w:rPr>
        <w:t>מרטין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פרץ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</w:rPr>
      </w:pPr>
      <w:r>
        <w:rPr>
          <w:rFonts w:cs="FrankRuehl"/>
          <w:color w:val="000000"/>
          <w:rtl w:val="true"/>
        </w:rPr>
        <w:t>נוסח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מסמך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כפוף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לשינויי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ניסוח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Cs w:val="22"/>
      </w:rPr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/Users/liorb/Downloads/study2025-p2/SH-04-1093.doc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1093/04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בית המכס חיפה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אליאס שלופי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093-04"/>
    <w:docVar w:name="caseId" w:val="1972016"/>
    <w:docVar w:name="deriveClass" w:val="NGCS.Protocol.BL.Client.ProtocolBLClientCriminal"/>
    <w:docVar w:name="firstPageNumber" w:val="4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89986"/>
    <w:docVar w:name="releaseSign" w:val="0"/>
    <w:docVar w:name="sittingDateTime" w:val="03/07/2008 08:30     "/>
    <w:docVar w:name="sittingId" w:val="504218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120" w:after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42133" TargetMode="External"/><Relationship Id="rId3" Type="http://schemas.openxmlformats.org/officeDocument/2006/relationships/hyperlink" Target="http://www.nevo.co.il/case/5683520" TargetMode="External"/><Relationship Id="rId4" Type="http://schemas.openxmlformats.org/officeDocument/2006/relationships/hyperlink" Target="http://www.nevo.co.il/case/5683520" TargetMode="External"/><Relationship Id="rId5" Type="http://schemas.openxmlformats.org/officeDocument/2006/relationships/hyperlink" Target="http://www.nevo.co.il/case/5683520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law/72813" TargetMode="External"/><Relationship Id="rId8" Type="http://schemas.openxmlformats.org/officeDocument/2006/relationships/hyperlink" Target="http://www.nevo.co.il/case/17925966" TargetMode="External"/><Relationship Id="rId9" Type="http://schemas.openxmlformats.org/officeDocument/2006/relationships/hyperlink" Target="http://www.nevo.co.il/case/5706979" TargetMode="External"/><Relationship Id="rId10" Type="http://schemas.openxmlformats.org/officeDocument/2006/relationships/hyperlink" Target="http://www.nevo.co.il/case/17946174" TargetMode="External"/><Relationship Id="rId11" Type="http://schemas.openxmlformats.org/officeDocument/2006/relationships/hyperlink" Target="http://www.nevo.co.il/case/5907829" TargetMode="External"/><Relationship Id="rId12" Type="http://schemas.openxmlformats.org/officeDocument/2006/relationships/hyperlink" Target="http://www.nevo.co.il/case/5688512" TargetMode="External"/><Relationship Id="rId13" Type="http://schemas.openxmlformats.org/officeDocument/2006/relationships/hyperlink" Target="http://www.nevo.co.il/case/6174227" TargetMode="External"/><Relationship Id="rId14" Type="http://schemas.openxmlformats.org/officeDocument/2006/relationships/hyperlink" Target="http://www.nevo.co.il/case/5678350" TargetMode="External"/><Relationship Id="rId15" Type="http://schemas.openxmlformats.org/officeDocument/2006/relationships/hyperlink" Target="http://www.nevo.co.il/case/5784437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2016-03-20T16:49:00Z</dcterms:created>
  <dc:creator> </dc:creator>
  <dc:description/>
  <cp:keywords/>
  <dc:language>en-IL</dc:language>
  <cp:lastModifiedBy>hofit</cp:lastModifiedBy>
  <dcterms:modified xsi:type="dcterms:W3CDTF">2016-03-20T16:49:00Z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בית המכס חיפה</vt:lpwstr>
  </property>
  <property fmtid="{D5CDD505-2E9C-101B-9397-08002B2CF9AE}" pid="3" name="APPELLEE">
    <vt:lpwstr>אליאס שלופי;חברת שמס לאספקת כוח אדם 1996 בע"מ</vt:lpwstr>
  </property>
  <property fmtid="{D5CDD505-2E9C-101B-9397-08002B2CF9AE}" pid="4" name="CASESLISTTMP1">
    <vt:lpwstr>2242133;5683520:3;17925966;5706979;17946174;5907829;5688512;6174227;5678350;5784437</vt:lpwstr>
  </property>
  <property fmtid="{D5CDD505-2E9C-101B-9397-08002B2CF9AE}" pid="5" name="CITY">
    <vt:lpwstr>נצ'</vt:lpwstr>
  </property>
  <property fmtid="{D5CDD505-2E9C-101B-9397-08002B2CF9AE}" pid="6" name="DATE">
    <vt:lpwstr>20080703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ג'ורג' אזולאי</vt:lpwstr>
  </property>
  <property fmtid="{D5CDD505-2E9C-101B-9397-08002B2CF9AE}" pid="10" name="LAWLISTTMP1">
    <vt:lpwstr>72813</vt:lpwstr>
  </property>
  <property fmtid="{D5CDD505-2E9C-101B-9397-08002B2CF9AE}" pid="11" name="LAWYER">
    <vt:lpwstr>הישאם הוארי</vt:lpwstr>
  </property>
  <property fmtid="{D5CDD505-2E9C-101B-9397-08002B2CF9AE}" pid="12" name="LINKK1">
    <vt:lpwstr>http://www.nevo.co.il/Psika_word/mechozi/m08000204-244.doc;לפסק-דין במחוזי (25-11-2008)#עפא 204/08 אליאס שלופה נ' מדינת ישראל - אגף המכס ומע"מ#שופטים: אסתר הלמן, שאהר אטרש, אשר קולה#עו''ד: הווארי, ח'ורי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http://www.nevo.co.il/Psika_word/elyon/09001840-h02.doc;להחלטה בעליון (23-03-2009)#רעפ 184/09 אליאס שלופה נ' אגף המכס והמע"מ – מדינת ישראל#שופטים: ס' ג'ובראן#עו''ד: יורם הירשברג, רפאל כהן</vt:lpwstr>
  </property>
  <property fmtid="{D5CDD505-2E9C-101B-9397-08002B2CF9AE}" pid="17" name="LINKK3">
    <vt:lpwstr>http://www.nevo.co.il/Psika_word/elyon/09001840-n05.doc;להחלטה בעליון (07-05-2009)#רעפ 184/09 אליאס שלופה נ' מדינת ישראל - אגף המכס והמע"מ#שופטים: ד' ביניש#עו''ד: רפאל כהן</vt:lpwstr>
  </property>
  <property fmtid="{D5CDD505-2E9C-101B-9397-08002B2CF9AE}" pid="18" name="LINKK4">
    <vt:lpwstr>http://www.nevo.co.il/Psika_word/elyon/09001840-n14.doc;להחלטה בעליון (11-06-2009)#רעפ 184/09 אליאס שלופה נ' מדינת ישראל - אגף המכס והמע"מ#שופטים: ה ד' ביניש#עו''ד: רפאל כהן</vt:lpwstr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1093</vt:lpwstr>
  </property>
  <property fmtid="{D5CDD505-2E9C-101B-9397-08002B2CF9AE}" pid="25" name="NEWPARTB">
    <vt:lpwstr/>
  </property>
  <property fmtid="{D5CDD505-2E9C-101B-9397-08002B2CF9AE}" pid="26" name="NEWPARTC">
    <vt:lpwstr>04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1093</vt:lpwstr>
  </property>
  <property fmtid="{D5CDD505-2E9C-101B-9397-08002B2CF9AE}" pid="33" name="PROCYEAR">
    <vt:lpwstr>04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380020080703</vt:lpwstr>
  </property>
  <property fmtid="{D5CDD505-2E9C-101B-9397-08002B2CF9AE}" pid="37" name="TYPE_N_DATE">
    <vt:lpwstr>38020080703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