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1094-05-15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2"/>
                <w:szCs w:val="12"/>
              </w:rPr>
            </w:pPr>
            <w:r>
              <w:rPr>
                <w:rFonts w:cs="FrankRuehl"/>
                <w:sz w:val="12"/>
                <w:szCs w:val="12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6"/>
        <w:gridCol w:w="83"/>
        <w:gridCol w:w="2797"/>
        <w:gridCol w:w="5922"/>
      </w:tblGrid>
      <w:tr>
        <w:trPr/>
        <w:tc>
          <w:tcPr>
            <w:tcW w:w="129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46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46" w:type="dxa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אבראהים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נאסר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3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הראל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tl w:val="true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8848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Header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FrankRuehl" w:hAnsi="FrankRueh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  <w:bookmarkStart w:id="2" w:name="Links_Kitvei_Start"/>
            <w:bookmarkStart w:id="3" w:name="PsakDin"/>
            <w:bookmarkStart w:id="4" w:name="Links_Kitvei_Start"/>
            <w:bookmarkStart w:id="5" w:name="PsakDin"/>
            <w:bookmarkEnd w:id="4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Style w:val="Hyperlink"/>
              </w:rPr>
            </w:pPr>
            <w:bookmarkStart w:id="6" w:name="Links_Kitvei_Start"/>
            <w:bookmarkEnd w:id="6"/>
            <w:r>
              <w:rPr>
                <w:rFonts w:ascii="FrankRuehl" w:hAnsi="FrankRuehl" w:cs="FrankRuehl"/>
                <w:rtl w:val="true"/>
              </w:rPr>
              <w:t>כתבי עת</w:t>
            </w:r>
            <w:hyperlink r:id="rId2">
              <w:r>
                <w:rPr>
                  <w:rFonts w:cs="FrankRuehl" w:ascii="FrankRuehl" w:hAnsi="FrankRuehl"/>
                  <w:rtl w:val="true"/>
                </w:rPr>
                <w:t>: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rtl w:val="true"/>
                </w:rPr>
                <w:t>מרדכי קרמניצר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, 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החובה להלשין או החובה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",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המשפט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כרך יא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תשס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) </w:t>
              </w:r>
              <w:r>
                <w:rPr>
                  <w:rStyle w:val="Hyperlink"/>
                  <w:rFonts w:cs="FrankRuehl" w:ascii="FrankRuehl" w:hAnsi="FrankRuehl"/>
                </w:rPr>
                <w:t>55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"/>
            <w:bookmarkStart w:id="8" w:name="Links_Kitvei_End"/>
            <w:bookmarkStart w:id="9" w:name="LawTable"/>
            <w:bookmarkStart w:id="10" w:name="Links_Kitvei_End"/>
            <w:bookmarkEnd w:id="9"/>
            <w:bookmarkEnd w:id="10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262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11" w:name="LawTable_End"/>
            <w:bookmarkStart w:id="12" w:name="LawTable_End"/>
            <w:bookmarkEnd w:id="12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1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1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בעניינו של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14" w:name="ABSTRACT_START"/>
      <w:bookmarkEnd w:id="14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96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sz w:val="8"/>
          <w:szCs w:val="8"/>
        </w:rPr>
      </w:pPr>
      <w:r>
        <w:rPr>
          <w:rFonts w:cs="Calibri" w:ascii="Calibri" w:hAnsi="Calibri"/>
          <w:b/>
          <w:bCs/>
          <w:sz w:val="8"/>
          <w:szCs w:val="8"/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המתוקן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בתמצית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בשליחות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בהוראתה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ובכספה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שלישי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17/2/15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והמוגדרת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לבנת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כהגדרתו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18/2/15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19:30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התיק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עזבו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22/2/15-24/2/15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24/2/15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מהעסקה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זוממים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תסקירים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בירכא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ההתבגרות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משולבת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שתגלם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ושלילתו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4"/>
          <w:szCs w:val="4"/>
        </w:rPr>
      </w:pPr>
      <w:r>
        <w:rPr>
          <w:rFonts w:cs="Calibri" w:ascii="Calibri" w:hAnsi="Calibri"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18/3/16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תחזוקה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המועצה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ירכא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במחלקת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פורמאלי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בפיקוחו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  <w:sz w:val="2"/>
          <w:szCs w:val="2"/>
          <w:u w:val="single"/>
        </w:rPr>
      </w:pPr>
      <w:r>
        <w:rPr>
          <w:rFonts w:cs="Calibri" w:ascii="Calibri" w:hAnsi="Calibri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החטיבה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ממושמע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בתיאום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דומיננטי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אכפתי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והרצינות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לתפוקות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מפקדיו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שיצטרך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לחופשה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sz w:val="4"/>
          <w:szCs w:val="4"/>
        </w:rPr>
      </w:pPr>
      <w:r>
        <w:rPr>
          <w:rFonts w:cs="Calibri" w:ascii="Calibri" w:hAnsi="Calibri"/>
          <w:b/>
          <w:bCs/>
          <w:sz w:val="4"/>
          <w:szCs w:val="4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בחוזרה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במחשכים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במלאכה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5913/11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הייבי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12/9/12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ארז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המנעותו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ההצדקות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3417/99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מרגלית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שפי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735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טירקל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וריבלין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שפי</w:t>
      </w:r>
      <w:r>
        <w:rPr>
          <w:rFonts w:cs="Calibri" w:ascii="Calibri" w:hAnsi="Calibri"/>
          <w:rtl w:val="true"/>
        </w:rPr>
        <w:t>);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5204/07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אבוסמור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3/9/07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אבוסמור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19/4/15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26/5/15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נפיצותן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6"/>
          <w:szCs w:val="6"/>
        </w:rPr>
      </w:pPr>
      <w:r>
        <w:rPr>
          <w:rFonts w:cs="Calibri" w:ascii="Calibri" w:hAnsi="Calibri"/>
          <w:sz w:val="6"/>
          <w:szCs w:val="6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בהפנותו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שייקבע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בסרטון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טעיתי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באמת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מצטער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ממליץ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לאנשים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יתקרבו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לבעיות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שווה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בחטיבה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כעובד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ועובר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מפקדה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יודע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בטוח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אבקש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cs="David" w:ascii="David" w:hAnsi="David"/>
          <w:b/>
          <w:bCs/>
          <w:rtl w:val="true"/>
        </w:rPr>
        <w:t xml:space="preserve">. ... </w:t>
      </w:r>
      <w:r>
        <w:rPr>
          <w:rFonts w:ascii="David" w:hAnsi="David"/>
          <w:b/>
          <w:b/>
          <w:bCs/>
          <w:rtl w:val="true"/>
        </w:rPr>
        <w:t>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המלצות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חיוביות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ממפקדיי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רגיל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במשמרות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אחרי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העבודה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בבסיס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לעשות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צ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במועצה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בגורן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בבסיס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עובד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08:00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13:00</w:t>
      </w:r>
      <w:r>
        <w:rPr>
          <w:rFonts w:cs="David" w:ascii="David" w:hAnsi="David"/>
          <w:b/>
          <w:bCs/>
          <w:rtl w:val="true"/>
        </w:rPr>
        <w:t>,...</w:t>
      </w:r>
      <w:r>
        <w:rPr>
          <w:rFonts w:ascii="David" w:hAnsi="David"/>
          <w:b/>
          <w:b/>
          <w:bCs/>
          <w:rtl w:val="true"/>
        </w:rPr>
        <w:t>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שבועיים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אחרי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13:00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נשאר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בבסיס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יוצא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חמשו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פתוח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אחרי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13:00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בחדר</w:t>
      </w:r>
      <w:r>
        <w:rPr>
          <w:rFonts w:cs="David" w:ascii="David" w:hAnsi="David"/>
          <w:b/>
          <w:bCs/>
          <w:rtl w:val="true"/>
        </w:rPr>
        <w:t xml:space="preserve">. ... </w:t>
      </w:r>
      <w:r>
        <w:rPr>
          <w:rFonts w:ascii="David" w:hAnsi="David"/>
          <w:b/>
          <w:b/>
          <w:bCs/>
          <w:rtl w:val="true"/>
        </w:rPr>
        <w:t>המפקדים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מסכימים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אצא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לעשות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לטובת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בגורן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שאלתי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המפקד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נושא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דרגת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רנ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מפקד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המחנה</w:t>
      </w:r>
      <w:r>
        <w:rPr>
          <w:rFonts w:cs="David" w:ascii="David" w:hAnsi="David"/>
          <w:b/>
          <w:bCs/>
          <w:rtl w:val="true"/>
        </w:rPr>
        <w:t>.".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cs="David" w:ascii="David" w:hAnsi="David"/>
          <w:b/>
          <w:bCs/>
          <w:sz w:val="20"/>
          <w:szCs w:val="20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ascii="Arial" w:hAnsi="Arial" w:cs="Arial"/>
          <w:rtl w:val="true"/>
        </w:rPr>
        <w:t>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מניעה והרתעה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אף שקרנה ירדה לאחרונה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בקשר עם נסיבות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תדירותן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השפעתן על כלל 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ההשלכות היכולות להיגרם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מידת הפגיעה בביטחון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הפחד שמעשים אלה נוטעים בלבו של אדם מן הישוב ועוד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כן מושפעת הענישה מהנסיבות האישיות של מבצעי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עמדתם לגבי העבירות שבצעו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שיקום ועוד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איזון בין האינטרסים השונים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ראו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344/81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שחר סגל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לה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הנשיא שמגר</w:t>
      </w:r>
      <w:r>
        <w:rPr>
          <w:rFonts w:cs="Arial" w:ascii="Arial" w:hAnsi="Arial"/>
          <w:rtl w:val="true"/>
        </w:rPr>
        <w:t>;</w:t>
      </w:r>
      <w:r>
        <w:rPr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12/12/05</w:t>
      </w:r>
      <w:r>
        <w:rPr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>).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cs="Calibri" w:ascii="Calibri" w:hAnsi="Calibri"/>
          <w:rtl w:val="true"/>
        </w:rPr>
        <w:t>". (</w:t>
      </w:r>
      <w:r>
        <w:rPr>
          <w:rFonts w:ascii="Arial" w:hAnsi="Arial" w:cs="Arial"/>
          <w:rtl w:val="true"/>
        </w:rPr>
        <w:t>ראו לעניין זה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 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18/4/12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hyperlink r:id="rId1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156/80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כוכבי בנימין נ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ד לה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744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before="0" w:after="16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חומרת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בעטיה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זוממים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  <w:szCs w:val="20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הסבירים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השלמתו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שנתיים</w:t>
      </w:r>
      <w:r>
        <w:rPr>
          <w:rFonts w:cs="Miriam"/>
          <w:rtl w:val="true"/>
        </w:rPr>
        <w:t>".</w:t>
      </w:r>
      <w:r>
        <w:rPr>
          <w:sz w:val="26"/>
          <w:szCs w:val="26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המצריכות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תופעה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מסוכנת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במיוחד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בימינו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הניסיון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מקורו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מפוקפק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לאחר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דרכו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למפגעים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למיניהם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הוכיחו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מהססים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להשתמש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במקומות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סואנים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להיפגע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מהירי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שנקלעו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מקרה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לפיכך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התרענו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ונחזור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ונתריע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הפעם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החוטא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להידרש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יקר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באובדן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חירותו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ממושכת</w:t>
      </w:r>
      <w:r>
        <w:rPr>
          <w:rFonts w:cs="Calibri" w:ascii="Calibri" w:hAnsi="Calibri"/>
          <w:rtl w:val="true"/>
        </w:rPr>
        <w:t>...".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5833/07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18/11/07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22/2/07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2944/09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מועמר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9/12/09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שלושתם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לוי</w:t>
      </w:r>
      <w:r>
        <w:rPr>
          <w:rFonts w:cs="David" w:ascii="David" w:hAnsi="David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10/8/06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 xml:space="preserve">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2718/04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דחאל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29/3/04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5913/11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 </w:t>
      </w:r>
      <w:hyperlink r:id="rId25">
        <w:r>
          <w:rPr>
            <w:rStyle w:val="Hyperlink"/>
            <w:rFonts w:cs="David" w:ascii="David" w:hAnsi="David"/>
            <w:color w:val="0000FF"/>
            <w:u w:val="single"/>
          </w:rPr>
          <w:t>9543/09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בילאל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רחאל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431/05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ידגרוב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28/12/05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 xml:space="preserve">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11448/03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29/3/04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ריבלין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שפי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שעניינה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מניעת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פשע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כהגדרתה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262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</w:t>
      </w:r>
      <w:hyperlink r:id="rId28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להלן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החוק</w:t>
      </w:r>
      <w:r>
        <w:rPr>
          <w:rFonts w:cs="Miriam" w:ascii="Calibri" w:hAnsi="Calibri"/>
          <w:rtl w:val="true"/>
        </w:rPr>
        <w:t xml:space="preserve">),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יחידה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ומיוחדת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במינה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זוהי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מחדל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והמחדל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באי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מניעת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להבדיל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מענישתו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פסול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שביצע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מעטות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הבחירה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להעניש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השכיל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למנוע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נתקלה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בדברי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ביקורת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אצל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חכמי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שיטות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שאינן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מוכנות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לאמצה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עשויה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בחירותו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היחיד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אסור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כחברי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השופט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טירקל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שהיה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שמטיל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תימחה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מספר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ותיוותר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מוסרית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בלבד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שעניינה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מניעת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נועדה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לאכוף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השקפה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מוסרית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השקפה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מוסרית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רווחת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לאכוף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נורמה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החורגת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פוזיטיבי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Miriam"/>
          <w:rtl w:val="true"/>
        </w:rPr>
        <w:t>גרידא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ההבחנה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שהציע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פרופ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הארט</w:t>
      </w:r>
      <w:r>
        <w:rPr>
          <w:rFonts w:cs="Miriam" w:ascii="Calibri" w:hAnsi="Calibri"/>
          <w:rtl w:val="true"/>
        </w:rPr>
        <w:t xml:space="preserve">) </w:t>
      </w:r>
      <w:r>
        <w:rPr>
          <w:rFonts w:ascii="Calibri" w:hAnsi="Calibri" w:cs="Miriam"/>
          <w:rtl w:val="true"/>
        </w:rPr>
        <w:t>והיא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הנורמה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הראויה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לאכיפה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ההשקפה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המיליאנית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שהפרתה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עשויה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לזולת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אכיפת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איסור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אכיפת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מחדל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האחרונה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ענישת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המחדל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צריכה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זהירות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יתר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במניעת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תוצאה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לזולת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עשוי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להצדיק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מנעו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לעומת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להצדיק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שתיגרם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תוצאה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לזולת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האסור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איזון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המחוקק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הישראלי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בקובעו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גבולות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המתוארת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262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לחוק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עוסקת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שידע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זומם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חטא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שידע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זומם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פשע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דהיינו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המדורגת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חומרתה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בראש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מידרג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24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לחוק</w:t>
      </w:r>
      <w:r>
        <w:rPr>
          <w:rFonts w:cs="Miriam" w:ascii="Calibri" w:hAnsi="Calibri"/>
          <w:rtl w:val="true"/>
        </w:rPr>
        <w:t xml:space="preserve">)...".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sz w:val="2"/>
          <w:szCs w:val="2"/>
        </w:rPr>
      </w:pPr>
      <w:r>
        <w:rPr>
          <w:rFonts w:cs="Arial" w:ascii="Calibri" w:hAnsi="Calibri"/>
          <w:sz w:val="2"/>
          <w:szCs w:val="2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cs="Arial" w:ascii="Calibri" w:hAnsi="Calibri"/>
          <w:sz w:val="22"/>
          <w:szCs w:val="22"/>
          <w:rtl w:val="true"/>
        </w:rPr>
        <w:tab/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אבוסמור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Arial" w:ascii="Calibri" w:hAnsi="Calibri"/>
          <w:sz w:val="22"/>
          <w:szCs w:val="22"/>
          <w:rtl w:val="true"/>
        </w:rPr>
        <w:t xml:space="preserve">: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sz w:val="10"/>
          <w:szCs w:val="10"/>
        </w:rPr>
      </w:pPr>
      <w:r>
        <w:rPr>
          <w:rFonts w:cs="Arial" w:ascii="Calibri" w:hAnsi="Calibri"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ההצדקות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המרכזיות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האזרח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למנוע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סכנה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לערכים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מוגנים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בסיסיים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בחברה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כגון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ולצד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תחושת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הביטחון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הפרטים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בחברה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מנגד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הפרט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כתוצאה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פניה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מזערית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גור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אריה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בעמ</w:t>
      </w:r>
      <w:r>
        <w:rPr>
          <w:rFonts w:cs="Miriam" w:ascii="Calibri" w:hAnsi="Calibri"/>
          <w:rtl w:val="true"/>
        </w:rPr>
        <w:t xml:space="preserve">' </w:t>
      </w:r>
      <w:r>
        <w:rPr>
          <w:rFonts w:cs="Miriam" w:ascii="Calibri" w:hAnsi="Calibri"/>
        </w:rPr>
        <w:t>368-369</w:t>
      </w:r>
      <w:r>
        <w:rPr>
          <w:rFonts w:cs="Miriam" w:ascii="Calibri" w:hAnsi="Calibri"/>
          <w:rtl w:val="true"/>
        </w:rPr>
        <w:t>).</w:t>
      </w:r>
      <w:r>
        <w:rPr>
          <w:rFonts w:ascii="Calibri" w:hAnsi="Calibri" w:cs="Miriam"/>
          <w:rtl w:val="true"/>
        </w:rPr>
        <w:t>קיומה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מסייעת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למשטרה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בתפקידה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באכיפת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ובמניעת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פשעים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בכללותה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שהרי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לצפות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מהמשטרה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להתבצע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זקוקה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לעזרת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הסוברים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חובתו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היחיד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נגזרת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האמנה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החברתית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יחדיו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שפי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בעמ</w:t>
      </w:r>
      <w:r>
        <w:rPr>
          <w:rFonts w:cs="Miriam" w:ascii="Calibri" w:hAnsi="Calibri"/>
          <w:rtl w:val="true"/>
        </w:rPr>
        <w:t>'</w:t>
      </w:r>
      <w:r>
        <w:rPr>
          <w:rFonts w:cs="Miriam" w:ascii="Calibri" w:hAnsi="Calibri"/>
        </w:rPr>
        <w:t>750</w:t>
      </w:r>
      <w:r>
        <w:rPr>
          <w:rFonts w:cs="Miriam" w:ascii="Calibri" w:hAnsi="Calibri"/>
          <w:rtl w:val="true"/>
        </w:rPr>
        <w:t xml:space="preserve">). </w:t>
      </w:r>
      <w:r>
        <w:rPr>
          <w:rFonts w:ascii="Calibri" w:hAnsi="Calibri" w:cs="Miriam"/>
          <w:rtl w:val="true"/>
        </w:rPr>
        <w:t>עוד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נימוק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להחלת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יצירת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ביטוח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הדדי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האזרחים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באינטרס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פרט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ראו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מרדכי</w:t>
      </w:r>
      <w:r>
        <w:rPr>
          <w:rFonts w:ascii="Calibri" w:hAnsi="Calibri" w:eastAsia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קרמניצר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החובה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להלשין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או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החובה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לדווח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מניעת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פשע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20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בעמ</w:t>
      </w:r>
      <w:r>
        <w:rPr>
          <w:rFonts w:cs="Miriam" w:ascii="Calibri" w:hAnsi="Calibri"/>
          <w:rtl w:val="true"/>
        </w:rPr>
        <w:t xml:space="preserve">' </w:t>
      </w:r>
      <w:r>
        <w:rPr>
          <w:rFonts w:cs="Miriam" w:ascii="Calibri" w:hAnsi="Calibri"/>
        </w:rPr>
        <w:t>26</w:t>
      </w:r>
      <w:r>
        <w:rPr>
          <w:rFonts w:cs="Miriam" w:ascii="Calibri" w:hAnsi="Calibri"/>
          <w:rtl w:val="true"/>
        </w:rPr>
        <w:t xml:space="preserve">, </w:t>
      </w:r>
      <w:r>
        <w:rPr>
          <w:rFonts w:cs="Miriam" w:ascii="Calibri" w:hAnsi="Calibri"/>
        </w:rPr>
        <w:t>28</w:t>
      </w:r>
      <w:r>
        <w:rPr>
          <w:rFonts w:cs="Miriam" w:ascii="Calibri" w:hAnsi="Calibri"/>
          <w:rtl w:val="true"/>
        </w:rPr>
        <w:t xml:space="preserve"> (</w:t>
      </w:r>
      <w:r>
        <w:rPr>
          <w:rFonts w:ascii="Calibri" w:hAnsi="Calibri" w:cs="Miriam"/>
          <w:rtl w:val="true"/>
        </w:rPr>
        <w:t>יוני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2005</w:t>
      </w:r>
      <w:r>
        <w:rPr>
          <w:rFonts w:cs="Miriam" w:ascii="Calibri" w:hAnsi="Calibri"/>
          <w:rtl w:val="true"/>
        </w:rPr>
        <w:t>) (</w:t>
      </w:r>
      <w:r>
        <w:rPr>
          <w:rFonts w:ascii="Calibri" w:hAnsi="Calibri" w:cs="Miriam"/>
          <w:rtl w:val="true"/>
        </w:rPr>
        <w:t>להלן</w:t>
      </w:r>
      <w:r>
        <w:rPr>
          <w:rFonts w:cs="Miriam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קרמניצר</w:t>
      </w:r>
      <w:r>
        <w:rPr>
          <w:rFonts w:cs="Miriam" w:ascii="Calibri" w:hAnsi="Calibri"/>
          <w:rtl w:val="true"/>
        </w:rPr>
        <w:t xml:space="preserve">)). 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ascii="Calibri" w:hAnsi="Calibri" w:cs="Miriam"/>
          <w:rtl w:val="true"/>
        </w:rPr>
        <w:t>לצד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יתרונות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ברורים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בקיומה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למנוע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פשעים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הועלו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בספרות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ובפסיקה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קשיים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הנובעים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cs="Miriam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ההסתברות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הנמוכה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להתממשות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הסכנה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תכנון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הפשע</w:t>
      </w:r>
      <w:r>
        <w:rPr>
          <w:rFonts w:cs="Miriam" w:ascii="Calibri" w:hAnsi="Calibri"/>
          <w:rtl w:val="true"/>
        </w:rPr>
        <w:t>;</w:t>
      </w:r>
      <w:r>
        <w:rPr>
          <w:rFonts w:ascii="Calibri" w:hAnsi="Calibri" w:cs="Miriam"/>
          <w:rtl w:val="true"/>
        </w:rPr>
        <w:t>הסכנה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הפרט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מחשבותיו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החשש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נרדף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הפושע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דיווח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הפרט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התפיסה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החברתית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הרואה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בדיווח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למשטרה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הלשנה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יצירת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אווירת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חשדנות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וחוסר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פרטים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בחברה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הפרת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יחסי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בסיטואציות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קרובי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משפחה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חברות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הדוקה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יחסי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כגון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מטפל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מטופל</w:t>
      </w:r>
      <w:r>
        <w:rPr>
          <w:rFonts w:cs="Miriam" w:ascii="Calibri" w:hAnsi="Calibri"/>
          <w:rtl w:val="true"/>
        </w:rPr>
        <w:t>,</w:t>
      </w:r>
      <w:r>
        <w:rPr>
          <w:rFonts w:ascii="Calibri" w:hAnsi="Calibri" w:cs="Miriam"/>
          <w:rtl w:val="true"/>
        </w:rPr>
        <w:t>עורך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דין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לקוח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החשש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מעשיית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החובה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ועצם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ההרשעה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בסיס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מחשבה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מבטאת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שלילית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ערכים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מוגנים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נובעת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משיקולים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רתיעה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מפנייה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למשטרה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מהסתבכות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פקפוק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הפנייה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למשטרה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וכו</w:t>
      </w:r>
      <w:r>
        <w:rPr>
          <w:rFonts w:cs="Miriam" w:ascii="Calibri" w:hAnsi="Calibri"/>
          <w:rtl w:val="true"/>
        </w:rPr>
        <w:t>') (</w:t>
      </w:r>
      <w:r>
        <w:rPr>
          <w:rFonts w:ascii="Calibri" w:hAnsi="Calibri" w:cs="Miriam"/>
          <w:rtl w:val="true"/>
        </w:rPr>
        <w:t>ראו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גור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אריה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בעמ</w:t>
      </w:r>
      <w:r>
        <w:rPr>
          <w:rFonts w:cs="Miriam" w:ascii="Calibri" w:hAnsi="Calibri"/>
          <w:rtl w:val="true"/>
        </w:rPr>
        <w:t xml:space="preserve">' </w:t>
      </w:r>
      <w:r>
        <w:rPr>
          <w:rFonts w:cs="Miriam" w:ascii="Calibri" w:hAnsi="Calibri"/>
        </w:rPr>
        <w:t>368-381</w:t>
      </w:r>
      <w:r>
        <w:rPr>
          <w:rFonts w:cs="Miriam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Miriam" w:ascii="Calibri" w:hAnsi="Calibri"/>
        </w:rPr>
        <w:t>15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אעיר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לטעמי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הקשיים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מיישומה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מאיינים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ההצדקות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לקיומה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מצריכים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יישום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המודע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לקשיים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ומתחשב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נראה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סיטואציות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ההצדקות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לקיומה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יהיו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חזקות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וברורות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בעוד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שהקשיים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ביישום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יהיו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מינורים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ביותר</w:t>
      </w:r>
      <w:r>
        <w:rPr>
          <w:rFonts w:cs="Miriam" w:ascii="Calibri" w:hAnsi="Calibri"/>
          <w:rtl w:val="true"/>
        </w:rPr>
        <w:t xml:space="preserve">..."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sz w:val="26"/>
          <w:szCs w:val="26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Calibri" w:ascii="Calibri" w:hAnsi="Calibri"/>
          <w:b/>
          <w:bCs/>
          <w:sz w:val="26"/>
          <w:szCs w:val="26"/>
          <w:rtl w:val="true"/>
        </w:rPr>
        <w:t>.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Fonts w:cs="Miriam"/>
          <w:rtl w:val="true"/>
        </w:rPr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355-09-13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26/3/15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אלרון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ופיש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34396-03-15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7/9/15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עדן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33610-12-11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בדראן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5/8/15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פיש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5/6/13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ר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  <w:tab/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למנעה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מניעתה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b/>
          <w:bCs/>
        </w:rPr>
        <w:t>11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מאמציו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שיקומו</w:t>
      </w:r>
      <w:r>
        <w:rPr>
          <w:rFonts w:cs="David" w:ascii="David" w:hAnsi="David"/>
          <w:rtl w:val="true"/>
        </w:rPr>
        <w:t>. (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10444/06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עייני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25/4/07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4980/01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פלוני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594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כתוארה דאז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ביניש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  <w:lang w:eastAsia="he-IL"/>
        </w:rPr>
        <w:t>א</w:t>
      </w:r>
      <w:r>
        <w:rPr>
          <w:rFonts w:cs="Calibri" w:ascii="Calibri" w:hAnsi="Calibri"/>
          <w:b/>
          <w:bCs/>
          <w:rtl w:val="true"/>
          <w:lang w:eastAsia="he-IL"/>
        </w:rPr>
        <w:t>.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לקולא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רואה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לקחת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בחשבון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הודייתו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בעובדות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כתב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האישום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המתוקן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האחריות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שנטל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למעשהו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והחרטה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שהביע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בגינו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ומתסקיר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tl w:val="true"/>
        </w:rPr>
        <w:t xml:space="preserve">,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ממושמע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tl w:val="true"/>
        </w:rPr>
        <w:t xml:space="preserve">, </w:t>
      </w:r>
      <w:r>
        <w:rPr>
          <w:rtl w:val="true"/>
        </w:rPr>
        <w:t>המתפקד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tl w:val="true"/>
        </w:rPr>
        <w:t xml:space="preserve">, </w:t>
      </w:r>
      <w:r>
        <w:rPr>
          <w:rtl w:val="true"/>
        </w:rPr>
        <w:t>מרצו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המגובים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מפקדיו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12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לחתימתו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10/5/16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Header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1094-05-15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אבראהים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ורי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עצור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1281" TargetMode="External"/><Relationship Id="rId3" Type="http://schemas.openxmlformats.org/officeDocument/2006/relationships/hyperlink" Target="http://www.nevo.co.il/safrut/book/128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62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26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716796" TargetMode="External"/><Relationship Id="rId10" Type="http://schemas.openxmlformats.org/officeDocument/2006/relationships/hyperlink" Target="http://www.nevo.co.il/case/5894386" TargetMode="External"/><Relationship Id="rId11" Type="http://schemas.openxmlformats.org/officeDocument/2006/relationships/hyperlink" Target="http://www.nevo.co.il/case/567297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7939098" TargetMode="External"/><Relationship Id="rId14" Type="http://schemas.openxmlformats.org/officeDocument/2006/relationships/hyperlink" Target="http://www.nevo.co.il/case/5982047" TargetMode="External"/><Relationship Id="rId15" Type="http://schemas.openxmlformats.org/officeDocument/2006/relationships/hyperlink" Target="http://www.nevo.co.il/case/5815848" TargetMode="External"/><Relationship Id="rId16" Type="http://schemas.openxmlformats.org/officeDocument/2006/relationships/hyperlink" Target="http://www.nevo.co.il/case/6243627" TargetMode="External"/><Relationship Id="rId17" Type="http://schemas.openxmlformats.org/officeDocument/2006/relationships/hyperlink" Target="http://www.nevo.co.il/case/17940865" TargetMode="External"/><Relationship Id="rId18" Type="http://schemas.openxmlformats.org/officeDocument/2006/relationships/hyperlink" Target="http://www.nevo.co.il/law/70301/262" TargetMode="External"/><Relationship Id="rId19" Type="http://schemas.openxmlformats.org/officeDocument/2006/relationships/hyperlink" Target="http://www.nevo.co.il/case/6034921" TargetMode="External"/><Relationship Id="rId20" Type="http://schemas.openxmlformats.org/officeDocument/2006/relationships/hyperlink" Target="http://www.nevo.co.il/case/5724364" TargetMode="External"/><Relationship Id="rId21" Type="http://schemas.openxmlformats.org/officeDocument/2006/relationships/hyperlink" Target="http://www.nevo.co.il/case/5866366" TargetMode="External"/><Relationship Id="rId22" Type="http://schemas.openxmlformats.org/officeDocument/2006/relationships/hyperlink" Target="http://www.nevo.co.il/case/5887664" TargetMode="External"/><Relationship Id="rId23" Type="http://schemas.openxmlformats.org/officeDocument/2006/relationships/hyperlink" Target="http://www.nevo.co.il/case/5852404" TargetMode="External"/><Relationship Id="rId24" Type="http://schemas.openxmlformats.org/officeDocument/2006/relationships/hyperlink" Target="http://www.nevo.co.il/case/5716796" TargetMode="External"/><Relationship Id="rId25" Type="http://schemas.openxmlformats.org/officeDocument/2006/relationships/hyperlink" Target="http://www.nevo.co.il/case/5764932" TargetMode="External"/><Relationship Id="rId26" Type="http://schemas.openxmlformats.org/officeDocument/2006/relationships/hyperlink" Target="http://www.nevo.co.il/case/5701450" TargetMode="External"/><Relationship Id="rId27" Type="http://schemas.openxmlformats.org/officeDocument/2006/relationships/hyperlink" Target="http://www.nevo.co.il/case/6180713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safrut/book/1281" TargetMode="External"/><Relationship Id="rId30" Type="http://schemas.openxmlformats.org/officeDocument/2006/relationships/hyperlink" Target="http://www.nevo.co.il/case/7981189" TargetMode="External"/><Relationship Id="rId31" Type="http://schemas.openxmlformats.org/officeDocument/2006/relationships/hyperlink" Target="http://www.nevo.co.il/case/20121037" TargetMode="External"/><Relationship Id="rId32" Type="http://schemas.openxmlformats.org/officeDocument/2006/relationships/hyperlink" Target="http://www.nevo.co.il/case/4920820" TargetMode="External"/><Relationship Id="rId33" Type="http://schemas.openxmlformats.org/officeDocument/2006/relationships/hyperlink" Target="http://www.nevo.co.il/case/6473037" TargetMode="External"/><Relationship Id="rId34" Type="http://schemas.openxmlformats.org/officeDocument/2006/relationships/hyperlink" Target="http://www.nevo.co.il/case/6170256" TargetMode="External"/><Relationship Id="rId35" Type="http://schemas.openxmlformats.org/officeDocument/2006/relationships/hyperlink" Target="http://www.nevo.co.il/case/914462" TargetMode="External"/><Relationship Id="rId36" Type="http://schemas.openxmlformats.org/officeDocument/2006/relationships/hyperlink" Target="http://www.nevo.co.il/law/70301/40j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2017-02-06T12:16:00Z</dcterms:created>
  <dc:creator> </dc:creator>
  <dc:description/>
  <cp:keywords/>
  <dc:language>en-IL</dc:language>
  <cp:lastModifiedBy>Tali-a</cp:lastModifiedBy>
  <dcterms:modified xsi:type="dcterms:W3CDTF">2017-02-06T12:16:00Z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אבראהים ח'ורי;נאסר מועדי;הראל המר</vt:lpwstr>
  </property>
  <property fmtid="{D5CDD505-2E9C-101B-9397-08002B2CF9AE}" pid="4" name="BOOKLISTTMP1">
    <vt:lpwstr>1281</vt:lpwstr>
  </property>
  <property fmtid="{D5CDD505-2E9C-101B-9397-08002B2CF9AE}" pid="5" name="CASESLISTTMP1">
    <vt:lpwstr>5716796:2;5894386;5672979;17939098;5982047;5815848;6243627;17940865;6034921;5724364;5866366;5887664;5852404;5764932;5701450;6180713;7981189;20121037;4920820;6473037;6170256;914462</vt:lpwstr>
  </property>
  <property fmtid="{D5CDD505-2E9C-101B-9397-08002B2CF9AE}" pid="6" name="CITY">
    <vt:lpwstr>חי'</vt:lpwstr>
  </property>
  <property fmtid="{D5CDD505-2E9C-101B-9397-08002B2CF9AE}" pid="7" name="DATE">
    <vt:lpwstr>20160407</vt:lpwstr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70301/262:2;40ja</vt:lpwstr>
  </property>
  <property fmtid="{D5CDD505-2E9C-101B-9397-08002B2CF9AE}" pid="11" name="NEWPARTA">
    <vt:lpwstr>1094</vt:lpwstr>
  </property>
  <property fmtid="{D5CDD505-2E9C-101B-9397-08002B2CF9AE}" pid="12" name="NEWPARTB">
    <vt:lpwstr>05</vt:lpwstr>
  </property>
  <property fmtid="{D5CDD505-2E9C-101B-9397-08002B2CF9AE}" pid="13" name="NEWPARTC">
    <vt:lpwstr>15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390020160407</vt:lpwstr>
  </property>
  <property fmtid="{D5CDD505-2E9C-101B-9397-08002B2CF9AE}" pid="18" name="TYPE_N_DATE">
    <vt:lpwstr>39020160407</vt:lpwstr>
  </property>
  <property fmtid="{D5CDD505-2E9C-101B-9397-08002B2CF9AE}" pid="19" name="WORDNUMPAGES">
    <vt:lpwstr>11</vt:lpwstr>
  </property>
</Properties>
</file>