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10948-02-16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עמאש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2017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tl w:val="true"/>
              </w:rPr>
              <w:t xml:space="preserve"> </w:t>
            </w:r>
            <w:r>
              <w:rPr/>
              <w:t>339-02-1610932-02-16</w:t>
            </w:r>
          </w:p>
        </w:tc>
      </w:tr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4"/>
                <w:szCs w:val="4"/>
              </w:rPr>
            </w:pPr>
            <w:r>
              <w:rPr>
                <w:b/>
                <w:bCs/>
                <w:rtl w:val="true"/>
              </w:rPr>
              <w:t xml:space="preserve">                      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מספר פל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45032/2016</w:t>
            </w:r>
          </w:p>
        </w:tc>
      </w:tr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</w:rPr>
            </w:pPr>
            <w:r>
              <w:rPr>
                <w:rFonts w:cs="Times New Roman" w:ascii="Times New Roman" w:hAnsi="Times New Roman"/>
                <w:b/>
                <w:bCs/>
                <w:sz w:val="4"/>
                <w:szCs w:val="4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eastAsia="Times New Roman" w:cs="Arial"/>
          <w:sz w:val="6"/>
          <w:szCs w:val="6"/>
        </w:rPr>
      </w:pPr>
      <w:r>
        <w:rPr>
          <w:rFonts w:eastAsia="Times New Roman"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יואב עטר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ד מזור טפירו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זאהר אבו עמאש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xxxxxxxxxxx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שמש אבנר </w:t>
            </w:r>
          </w:p>
        </w:tc>
      </w:tr>
    </w:tbl>
    <w:p>
      <w:pPr>
        <w:pStyle w:val="Normal"/>
        <w:spacing w:lineRule="auto" w:line="360" w:before="0" w:after="160"/>
        <w:ind w:end="0"/>
        <w:jc w:val="both"/>
        <w:rPr>
          <w:rFonts w:eastAsia="Times New Roman"/>
          <w:sz w:val="6"/>
          <w:szCs w:val="6"/>
        </w:rPr>
      </w:pPr>
      <w:r>
        <w:rPr>
          <w:rFonts w:eastAsia="Times New Roman"/>
          <w:sz w:val="6"/>
          <w:szCs w:val="6"/>
        </w:rPr>
        <w:t>#2#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sz w:val="6"/>
          <w:szCs w:val="6"/>
        </w:rPr>
      </w:pPr>
      <w:r>
        <w:rPr>
          <w:rFonts w:eastAsia="Times New Roman"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r>
        <w:rPr>
          <w:rFonts w:ascii="FrankRuehl" w:hAnsi="FrankRuehl" w:eastAsia="Times New Roman" w:cs="FrankRuehl"/>
          <w:rtl w:val="true"/>
        </w:rPr>
        <w:t>חקיקה שאוזכרה</w:t>
      </w:r>
      <w:r>
        <w:rPr>
          <w:rFonts w:eastAsia="Times New Roman"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hyperlink r:id="rId2"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1977</w:t>
        </w:r>
      </w:hyperlink>
      <w:r>
        <w:rPr>
          <w:rFonts w:eastAsia="Times New Roman" w:cs="FrankRuehl" w:ascii="FrankRuehl" w:hAnsi="FrankRuehl"/>
          <w:rtl w:val="true"/>
        </w:rPr>
        <w:t xml:space="preserve">: </w:t>
      </w:r>
      <w:r>
        <w:rPr>
          <w:rFonts w:ascii="FrankRuehl" w:hAnsi="FrankRuehl" w:eastAsia="Times New Roman" w:cs="FrankRuehl"/>
          <w:rtl w:val="true"/>
        </w:rPr>
        <w:t>סע</w:t>
      </w:r>
      <w:r>
        <w:rPr>
          <w:rFonts w:eastAsia="Times New Roman"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144</w:t>
        </w:r>
      </w:hyperlink>
      <w:r>
        <w:rPr>
          <w:rFonts w:eastAsia="Times New Roman"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r>
        <w:rPr>
          <w:rFonts w:eastAsia="Times New Roman" w:cs="FrankRuehl" w:ascii="FrankRuehl" w:hAnsi="FrankRueh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Times New Roman" w:cs="FrankRuehl"/>
          <w:sz w:val="6"/>
          <w:szCs w:val="6"/>
        </w:rPr>
      </w:pPr>
      <w:r>
        <w:rPr>
          <w:rFonts w:eastAsia="Times New Roman" w:cs="FrankRuehl" w:ascii="FrankRuehl" w:hAnsi="FrankRuehl"/>
          <w:sz w:val="6"/>
          <w:szCs w:val="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 w:before="0" w:after="160"/>
        <w:ind w:end="0"/>
        <w:jc w:val="both"/>
        <w:rPr>
          <w:rFonts w:eastAsia="Times New Roman"/>
          <w:sz w:val="6"/>
          <w:szCs w:val="6"/>
        </w:rPr>
      </w:pPr>
      <w:r>
        <w:rPr>
          <w:rFonts w:eastAsia="Times New Roman"/>
          <w:sz w:val="6"/>
          <w:szCs w:val="6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Times New Roman" w:cs="FrankRuehl"/>
        </w:rPr>
      </w:pPr>
      <w:r>
        <w:rPr>
          <w:rFonts w:eastAsia="Times New Roman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bookmarkStart w:id="11" w:name="ABSTRACT_START"/>
      <w:bookmarkEnd w:id="11"/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במסגרת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הסדר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טיעון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פי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הודאתו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המתוקן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החזקת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לפי</w:t>
      </w:r>
      <w:r>
        <w:rPr>
          <w:rFonts w:eastAsia="Times New Roman"/>
          <w:rtl w:val="true"/>
        </w:rPr>
        <w:t xml:space="preserve"> </w:t>
      </w:r>
      <w:hyperlink r:id="rId5"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/>
            <w:color w:val="0000FF"/>
            <w:u w:val="single"/>
          </w:rPr>
          <w:t>144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hyperlink r:id="rId6">
        <w:r>
          <w:rPr>
            <w:rStyle w:val="Hyperlink"/>
            <w:rFonts w:eastAsia="Times New Roman"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התשל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ז</w:t>
      </w:r>
      <w:r>
        <w:rPr>
          <w:rFonts w:eastAsia="Times New Roman"/>
          <w:rtl w:val="true"/>
        </w:rPr>
        <w:t>-</w:t>
      </w:r>
      <w:r>
        <w:rPr>
          <w:rFonts w:eastAsia="Times New Roman"/>
        </w:rPr>
        <w:t>1977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שעניינה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החזיק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בארון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הבגדים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בביתו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באקדח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אוטומטי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בקוטר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9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מ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הצדדים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הגיעו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בדיון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24.5.16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להסדר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טיעון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במסגרתו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הוגבלה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לעתירה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r>
        <w:rPr>
          <w:rFonts w:eastAsia="Times New Roman"/>
          <w:rtl w:val="true"/>
        </w:rPr>
        <w:t>-</w:t>
      </w:r>
      <w:r>
        <w:rPr>
          <w:rFonts w:eastAsia="Times New Roman"/>
        </w:rPr>
        <w:t>12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תנאי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וקנס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שהוסכם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ההגנה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תטען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פתוח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נוכח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קיומה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חובת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הופנה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לקבלת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טרם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הטיעונים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לעונש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eastAsia="Times New Roman"/>
          <w:b/>
          <w:bCs/>
          <w:u w:val="single"/>
        </w:rPr>
      </w:pPr>
      <w:r>
        <w:rPr>
          <w:rFonts w:eastAsia="Times New Roman"/>
          <w:b/>
          <w:b/>
          <w:bCs/>
          <w:u w:val="single"/>
          <w:rtl w:val="true"/>
        </w:rPr>
        <w:t>תסקיר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שירות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  <w:b/>
          <w:bCs/>
          <w:u w:val="single"/>
        </w:rPr>
      </w:pPr>
      <w:r>
        <w:rPr>
          <w:rFonts w:eastAsia="Times New Roman"/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מהתסקיר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צעיר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21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ילדים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עובד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בעסק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משפחתי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למעצרו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בהליכי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גיוס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לצה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ואולם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גויס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ההליך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הפלילי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מהתסקיר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גרסה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מטשטשת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לפיה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מצא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האקדח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בוואדי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והתעתד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למסור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למשטרה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בסוף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והכחיש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כוונה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לפגוע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באנשים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אחרים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השתתף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סדיר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בקבוצה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טיפולית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המיועדת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לעצורי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והתקשה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לבחון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חלקים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מכשילים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בתפקודו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התרשם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שיתף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חלקי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בקורותיו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הצנעת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אלמנטים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שנתפסו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ידו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כשליליים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התרשם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בשלב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חייו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מתקשה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לבחון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כשלים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בהתנהגותו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ביקורתי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נראה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במצבי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דחק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מתקשה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להפעיל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שיקול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באימפולסיביות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התרשם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מאי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בהירות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ביחס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להתנהלות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בסביבתו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הטבעית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מנגד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התרשם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מעצרו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והמחירים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הנלווים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מהווים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גורמים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הרתעתיים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עמד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נכונות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לשתף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פעולה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הגעתו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הסדירה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למפגשים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והחרטה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שהביע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בסופו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עמד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העובדה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התקשה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לבחון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כשלים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בהתנהגותו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ולבחון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לעומק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שהביאוהו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להחזיק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בנשק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בסופו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המליץ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להטיל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שירוצה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eastAsia="Times New Roman"/>
          <w:b/>
          <w:bCs/>
          <w:u w:val="single"/>
        </w:rPr>
      </w:pPr>
      <w:r>
        <w:rPr>
          <w:rFonts w:eastAsia="Times New Roman"/>
          <w:b/>
          <w:b/>
          <w:bCs/>
          <w:u w:val="single"/>
          <w:rtl w:val="true"/>
        </w:rPr>
        <w:t>טענות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  <w:b/>
          <w:bCs/>
          <w:u w:val="single"/>
        </w:rPr>
      </w:pPr>
      <w:r>
        <w:rPr>
          <w:rFonts w:eastAsia="Times New Roman"/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באת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כוח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עמדה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בטיעוניה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חומרת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היקף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התופעה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החזקת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הבלתי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חוקי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הצורך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בקידוש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מלחמה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בעבירות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מדיניות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הענישה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הנוהגת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עתרה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לכיבוד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הסדר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הטיעון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לאחר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שהפנתה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לפסיקה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הנוהגת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עותרת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במסגרת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הסדר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הטיעון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</w:rPr>
        <w:t>12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), </w:t>
      </w:r>
      <w:r>
        <w:rPr>
          <w:rFonts w:eastAsia="Times New Roman"/>
          <w:rtl w:val="true"/>
        </w:rPr>
        <w:t>מצוי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התחתון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המתחם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להשית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נמוך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יותר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שלשיטתה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12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בא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כוח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בטיעוניו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בכתב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הפנה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לפסיקה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הושתו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עמד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נסיבותיו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וטען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מספר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לריצוי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עשרה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שבתוך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ביקש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לעמוד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הטיפול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שיתוף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הפעולה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הזמן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שחלף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ופרק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הזמן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ששהה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במעצר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בא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כוח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בטיעוניו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לדון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ברף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הנמוך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לריצוי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בטיעונים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בעל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פה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חזרה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באת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כוח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שהופיעה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בדיון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כוח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בטיעונים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שהוגשו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עמדה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שוב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נסיבותיו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האישיות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הגישה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פסיקה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ועתרה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להשתת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eastAsia="Times New Roman"/>
          <w:b/>
          <w:bCs/>
          <w:u w:val="single"/>
        </w:rPr>
      </w:pPr>
      <w:r>
        <w:rPr>
          <w:rFonts w:eastAsia="Times New Roman"/>
          <w:b/>
          <w:b/>
          <w:bCs/>
          <w:u w:val="single"/>
          <w:rtl w:val="true"/>
        </w:rPr>
        <w:t>דיון</w:t>
      </w:r>
      <w:r>
        <w:rPr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Fonts w:eastAsia="Times New Roman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  <w:b/>
          <w:bCs/>
          <w:u w:val="single"/>
        </w:rPr>
      </w:pPr>
      <w:r>
        <w:rPr>
          <w:rFonts w:eastAsia="Times New Roman"/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הצדדים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הגיעו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להסדר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טיעון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הכולל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טווח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ענישה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מוסכם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דומה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שבית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ייטה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לכבד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ההסדר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ובכפוף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שעדיין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התחנות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הנדרשות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בהתאם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לתיקון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113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מתייתר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הצורך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בקביעת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ההולם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בהינתן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גילו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הצעיר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והעדר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פלילי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כנלמד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המתוקן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סבורני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הסדר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הטיעון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סביר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לאמצו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משמצאתי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לכבד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הסדר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הטיעון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ומשמתעתד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לדון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מנעד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הסכימו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הצדדים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דומה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לקבוע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ההולם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חמורה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לאחרונה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</w:t>
      </w:r>
      <w:hyperlink r:id="rId7">
        <w:r>
          <w:rPr>
            <w:rStyle w:val="Hyperlink"/>
            <w:rFonts w:eastAsia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3877/16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פאדי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גב</w:t>
      </w:r>
      <w:r>
        <w:rPr>
          <w:rFonts w:eastAsia="Times New Roman"/>
          <w:b/>
          <w:bCs/>
          <w:rtl w:val="true"/>
        </w:rPr>
        <w:t>'</w:t>
      </w:r>
      <w:r>
        <w:rPr>
          <w:rFonts w:eastAsia="Times New Roman"/>
          <w:b/>
          <w:b/>
          <w:bCs/>
          <w:rtl w:val="true"/>
        </w:rPr>
        <w:t>אלי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</w:t>
      </w:r>
      <w:r>
        <w:rPr>
          <w:rFonts w:eastAsia="Times New Roman"/>
          <w:b/>
          <w:bCs/>
          <w:rtl w:val="true"/>
        </w:rPr>
        <w:t xml:space="preserve">' </w:t>
      </w:r>
      <w:r>
        <w:rPr>
          <w:rFonts w:eastAsia="Times New Roman"/>
          <w:b/>
          <w:b/>
          <w:bCs/>
          <w:rtl w:val="true"/>
        </w:rPr>
        <w:t>מדינת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ישראל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</w:rPr>
        <w:t>17.11.16</w:t>
      </w:r>
      <w:r>
        <w:rPr>
          <w:rFonts w:eastAsia="Times New Roman"/>
          <w:rtl w:val="true"/>
        </w:rPr>
        <w:t xml:space="preserve">) </w:t>
      </w:r>
      <w:r>
        <w:rPr>
          <w:rFonts w:eastAsia="Times New Roman"/>
          <w:rtl w:val="true"/>
        </w:rPr>
        <w:t>נדרש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העליון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לערעורו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מערער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34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מותנה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וקנס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לאחר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ששעה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שנסע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ברכבו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למפגש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שנועד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יישוב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סכסוך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החזיק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ברכבו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אקדח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ומחסנית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המכילה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כדורים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ירד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מהרכב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כשהוא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מחביא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האקדח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במכנסיו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ונעצר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בשלב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שנקבע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ידי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המחוזי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r>
        <w:rPr>
          <w:rFonts w:eastAsia="Times New Roman"/>
          <w:rtl w:val="true"/>
        </w:rPr>
        <w:t>-</w:t>
      </w:r>
      <w:r>
        <w:rPr>
          <w:rFonts w:eastAsia="Times New Roman"/>
        </w:rPr>
        <w:t>48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העליון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ציין</w:t>
      </w:r>
      <w:r>
        <w:rPr>
          <w:rFonts w:eastAsia="Times New Roman"/>
          <w:rtl w:val="true"/>
        </w:rPr>
        <w:t>: "</w:t>
      </w:r>
      <w:r>
        <w:rPr>
          <w:rFonts w:eastAsia="Times New Roman"/>
          <w:b/>
          <w:b/>
          <w:bCs/>
          <w:rtl w:val="true"/>
        </w:rPr>
        <w:t>בית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משפט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זה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עמד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פעמים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רבות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החומרה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היתרה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הגלומה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בביצוע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עבירות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בנשק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ובכללן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העבירה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החזקת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נשק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או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נשיאתו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שלא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כדין</w:t>
      </w:r>
      <w:r>
        <w:rPr>
          <w:rFonts w:eastAsia="Times New Roman"/>
          <w:b/>
          <w:bCs/>
          <w:rtl w:val="true"/>
        </w:rPr>
        <w:t xml:space="preserve">. </w:t>
      </w:r>
      <w:r>
        <w:rPr>
          <w:rFonts w:eastAsia="Times New Roman"/>
          <w:b/>
          <w:b/>
          <w:bCs/>
          <w:rtl w:val="true"/>
        </w:rPr>
        <w:t>עבירות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אלו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מקימות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סיכון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חמור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לשלום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הציבור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וביטחונו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ומחייבות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Cs/>
          <w:rtl w:val="true"/>
        </w:rPr>
        <w:t>'</w:t>
      </w:r>
      <w:r>
        <w:rPr>
          <w:rFonts w:eastAsia="Times New Roman"/>
          <w:b/>
          <w:b/>
          <w:bCs/>
          <w:rtl w:val="true"/>
        </w:rPr>
        <w:t>ליתן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ביטוי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עונשי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הולם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ומרתיע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באמצעות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הרחקת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מבצע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העבירה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החברה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לתקופת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מאסר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ממשית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לריצוי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בפועל</w:t>
      </w:r>
      <w:r>
        <w:rPr>
          <w:rFonts w:eastAsia="Times New Roman"/>
          <w:b/>
          <w:bCs/>
          <w:rtl w:val="true"/>
        </w:rPr>
        <w:t>'... ...</w:t>
      </w:r>
      <w:r>
        <w:rPr>
          <w:rFonts w:eastAsia="Times New Roman"/>
          <w:b/>
          <w:b/>
          <w:bCs/>
          <w:rtl w:val="true"/>
        </w:rPr>
        <w:t>עוד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נפסק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כי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חומרתן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העבירות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בנשק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אינה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מסתכמת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רק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בנזק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שאירע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בפועל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כי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אם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בפוטנציאל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הנזק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הנובע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מאותן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עבירות</w:t>
      </w:r>
      <w:r>
        <w:rPr>
          <w:rFonts w:eastAsia="Times New Roman"/>
          <w:rtl w:val="true"/>
        </w:rPr>
        <w:t xml:space="preserve">".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העליון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מצא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הקשורות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לביצוע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מקום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להתערב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במתחם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ונוכח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הפלילי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מערער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נמנע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מלהתערב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בעונש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</w:t>
      </w:r>
      <w:hyperlink r:id="rId8">
        <w:r>
          <w:rPr>
            <w:rStyle w:val="Hyperlink"/>
            <w:rFonts w:eastAsia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4559/16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מועתאז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נוסיראת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</w:t>
      </w:r>
      <w:r>
        <w:rPr>
          <w:rFonts w:eastAsia="Times New Roman"/>
          <w:b/>
          <w:bCs/>
          <w:rtl w:val="true"/>
        </w:rPr>
        <w:t xml:space="preserve">' </w:t>
      </w:r>
      <w:r>
        <w:rPr>
          <w:rFonts w:eastAsia="Times New Roman"/>
          <w:b/>
          <w:b/>
          <w:bCs/>
          <w:rtl w:val="true"/>
        </w:rPr>
        <w:t>מדינת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ישראל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</w:rPr>
        <w:t>22.6.16</w:t>
      </w:r>
      <w:r>
        <w:rPr>
          <w:rFonts w:eastAsia="Times New Roman"/>
          <w:rtl w:val="true"/>
        </w:rPr>
        <w:t xml:space="preserve">) </w:t>
      </w:r>
      <w:r>
        <w:rPr>
          <w:rFonts w:eastAsia="Times New Roman"/>
          <w:rtl w:val="true"/>
        </w:rPr>
        <w:t>נדרש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העליון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לבקשת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רשות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ערעור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מבקש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בהחזקת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ותחמושת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השלום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קבע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מבקש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9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24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ונוכח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החיובי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שהוגש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ונסיבותיו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מבקש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מצא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לחרוג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לקולא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שקבע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וגזר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מבקש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לריצוי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לצד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קנס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תנאי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המחוזי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מרכז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לוד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ב</w:t>
      </w:r>
      <w:hyperlink r:id="rId9">
        <w:r>
          <w:rPr>
            <w:rStyle w:val="Hyperlink"/>
            <w:rFonts w:eastAsia="Times New Roman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eastAsia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Times New Roman"/>
            <w:b/>
            <w:bCs/>
            <w:color w:val="0000FF"/>
            <w:u w:val="single"/>
          </w:rPr>
          <w:t>27108-01-16</w:t>
        </w:r>
      </w:hyperlink>
      <w:r>
        <w:rPr>
          <w:rFonts w:eastAsia="Times New Roman"/>
          <w:b/>
          <w:bCs/>
          <w:rtl w:val="true"/>
        </w:rPr>
        <w:t xml:space="preserve"> </w:t>
      </w:r>
      <w:r>
        <w:rPr>
          <w:rFonts w:eastAsia="Times New Roman"/>
          <w:rtl w:val="true"/>
        </w:rPr>
        <w:t>קיבל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ערעור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המדינה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מבקש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הדגיש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מדיניות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הענישה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הנוהגת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הטלת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שזו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עבירתו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הראשונה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מדובר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נורמטיבי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פלילי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והעמיד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תשעה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העליון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>: "</w:t>
      </w:r>
      <w:r>
        <w:rPr>
          <w:rFonts w:eastAsia="Times New Roman"/>
          <w:b/>
          <w:b/>
          <w:bCs/>
          <w:rtl w:val="true"/>
        </w:rPr>
        <w:t>מצאתי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כי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העונש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שהשיתה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עליו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ערכאת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הערעור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הוא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ראוי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ומאזן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היטב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בין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מכלול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נסיבות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העניין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ובכללן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חומרתה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הרבה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העבירה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הורשע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ונסיבותיו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המקלות</w:t>
      </w:r>
      <w:r>
        <w:rPr>
          <w:rFonts w:eastAsia="Times New Roman"/>
          <w:rtl w:val="true"/>
        </w:rPr>
        <w:t>".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ascii="Arial" w:hAnsi="Arial" w:eastAsia="Times New Roman" w:cs="Arial"/>
          <w:rtl w:val="true"/>
        </w:rPr>
        <w:t xml:space="preserve">על החומרה שיש לנקוט בעבירות של החזקת נשק ראו </w:t>
      </w:r>
      <w:hyperlink r:id="rId10"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Arial" w:ascii="Arial" w:hAnsi="Arial"/>
            <w:color w:val="0000FF"/>
            <w:u w:val="single"/>
          </w:rPr>
          <w:t>1332/04</w:t>
        </w:r>
        <w:r>
          <w:rPr>
            <w:rStyle w:val="Hyperlink"/>
            <w:rFonts w:eastAsia="Times New Roman"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מ</w:t>
      </w:r>
      <w:r>
        <w:rPr>
          <w:rFonts w:eastAsia="Times New Roman" w:cs="Arial" w:ascii="Arial" w:hAnsi="Arial"/>
          <w:b/>
          <w:bCs/>
          <w:rtl w:val="true"/>
        </w:rPr>
        <w:t>"</w:t>
      </w:r>
      <w:r>
        <w:rPr>
          <w:rFonts w:ascii="Arial" w:hAnsi="Arial" w:eastAsia="Times New Roman" w:cs="Arial"/>
          <w:b/>
          <w:b/>
          <w:bCs/>
          <w:rtl w:val="true"/>
        </w:rPr>
        <w:t>י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יצחק רפאל פס ואח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eastAsia="Times New Roman" w:cs="Arial" w:ascii="Arial" w:hAnsi="Arial"/>
        </w:rPr>
        <w:t>9/04/2004</w:t>
      </w:r>
      <w:r>
        <w:rPr>
          <w:rFonts w:eastAsia="Times New Roman" w:cs="Arial" w:ascii="Arial" w:hAnsi="Arial"/>
          <w:rtl w:val="true"/>
        </w:rPr>
        <w:t>):</w:t>
      </w:r>
    </w:p>
    <w:p>
      <w:pPr>
        <w:pStyle w:val="Normal"/>
        <w:spacing w:lineRule="auto" w:line="257" w:before="0" w:after="160"/>
        <w:ind w:start="1076" w:end="567"/>
        <w:contextualSpacing/>
        <w:jc w:val="both"/>
        <w:rPr>
          <w:rFonts w:eastAsia="Times New Roman"/>
        </w:rPr>
      </w:pPr>
      <w:r>
        <w:rPr>
          <w:rFonts w:ascii="Arial" w:hAnsi="Arial" w:eastAsia="Times New Roman" w:cs="Arial"/>
          <w:b/>
          <w:b/>
          <w:bCs/>
          <w:rtl w:val="true"/>
        </w:rPr>
        <w:t>כבר נאמר לא אחת בפסיקתנו כי מידת העונש המוטל בגין עבירות המבוצעות בנשק מושפעת מפוטנציאל הסיכון הרב הטמון בנשק המוחזק שלא כדין</w:t>
      </w:r>
      <w:r>
        <w:rPr>
          <w:rFonts w:eastAsia="Times New Roman" w:cs="Arial" w:ascii="Arial" w:hAnsi="Arial"/>
          <w:b/>
          <w:bCs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rtl w:val="true"/>
        </w:rPr>
        <w:t>ומהעברתו מיד ליד ללא פיקוח</w:t>
      </w:r>
      <w:r>
        <w:rPr>
          <w:rFonts w:eastAsia="Times New Roman" w:cs="Arial" w:ascii="Arial" w:hAnsi="Arial"/>
          <w:b/>
          <w:bCs/>
          <w:rtl w:val="true"/>
        </w:rPr>
        <w:t xml:space="preserve">. </w:t>
      </w:r>
      <w:r>
        <w:rPr>
          <w:rFonts w:ascii="Arial" w:hAnsi="Arial" w:eastAsia="Times New Roman" w:cs="Arial"/>
          <w:b/>
          <w:b/>
          <w:bCs/>
          <w:rtl w:val="true"/>
        </w:rPr>
        <w:t>בבוא בית המשפט לגזור את הדין בעבירה של החזקה ונשיאה של נשק</w:t>
      </w:r>
      <w:r>
        <w:rPr>
          <w:rFonts w:eastAsia="Times New Roman" w:cs="Arial" w:ascii="Arial" w:hAnsi="Arial"/>
          <w:b/>
          <w:bCs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rtl w:val="true"/>
        </w:rPr>
        <w:t>עליו להתחשב בנסיבות בהן באה לידי ביטוי החומרה המיוחדת שבעבירה</w:t>
      </w:r>
      <w:r>
        <w:rPr>
          <w:rFonts w:eastAsia="Times New Roman" w:cs="Arial" w:ascii="Arial" w:hAnsi="Arial"/>
          <w:b/>
          <w:bCs/>
          <w:rtl w:val="true"/>
        </w:rPr>
        <w:t xml:space="preserve">. </w:t>
      </w:r>
      <w:r>
        <w:rPr>
          <w:rFonts w:ascii="Arial" w:hAnsi="Arial" w:eastAsia="Times New Roman" w:cs="Arial"/>
          <w:b/>
          <w:b/>
          <w:bCs/>
          <w:rtl w:val="true"/>
        </w:rPr>
        <w:t>בין היתר</w:t>
      </w:r>
      <w:r>
        <w:rPr>
          <w:rFonts w:eastAsia="Times New Roman" w:cs="Arial" w:ascii="Arial" w:hAnsi="Arial"/>
          <w:b/>
          <w:bCs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rtl w:val="true"/>
        </w:rPr>
        <w:t>יתן בית המשפט דעתו לסוג הנשק המוחזק שלא כדין</w:t>
      </w:r>
      <w:r>
        <w:rPr>
          <w:rFonts w:eastAsia="Times New Roman" w:cs="Arial" w:ascii="Arial" w:hAnsi="Arial"/>
          <w:b/>
          <w:bCs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rtl w:val="true"/>
        </w:rPr>
        <w:t>לכמותו</w:t>
      </w:r>
      <w:r>
        <w:rPr>
          <w:rFonts w:eastAsia="Times New Roman" w:cs="Arial" w:ascii="Arial" w:hAnsi="Arial"/>
          <w:b/>
          <w:bCs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rtl w:val="true"/>
        </w:rPr>
        <w:t xml:space="preserve">לתכלית שלשמה הוא מוחזק ולסכנה המוחשית שיעשה בו שימוש </w:t>
      </w:r>
      <w:r>
        <w:rPr>
          <w:rFonts w:eastAsia="Times New Roman" w:cs="Arial" w:ascii="Arial" w:hAnsi="Arial"/>
          <w:b/>
          <w:bCs/>
          <w:rtl w:val="true"/>
        </w:rPr>
        <w:t>(</w:t>
      </w:r>
      <w:r>
        <w:rPr>
          <w:rFonts w:ascii="Arial" w:hAnsi="Arial" w:eastAsia="Times New Roman" w:cs="Arial"/>
          <w:b/>
          <w:b/>
          <w:bCs/>
          <w:rtl w:val="true"/>
        </w:rPr>
        <w:t>השוו</w:t>
      </w:r>
      <w:r>
        <w:rPr>
          <w:rFonts w:eastAsia="Times New Roman" w:cs="Arial" w:ascii="Arial" w:hAnsi="Arial"/>
          <w:b/>
          <w:bCs/>
          <w:rtl w:val="true"/>
        </w:rPr>
        <w:t xml:space="preserve">: </w:t>
      </w:r>
      <w:hyperlink r:id="rId11">
        <w:r>
          <w:rPr>
            <w:rStyle w:val="Hyperlink"/>
            <w:rFonts w:ascii="Arial" w:hAnsi="Arial" w:eastAsia="Times New Roman" w:cs="Arial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b/>
            <w:b/>
            <w:bCs/>
            <w:color w:val="0000FF"/>
            <w:u w:val="single"/>
            <w:rtl w:val="true"/>
          </w:rPr>
          <w:t xml:space="preserve">ש </w:t>
        </w:r>
        <w:r>
          <w:rPr>
            <w:rStyle w:val="Hyperlink"/>
            <w:rFonts w:eastAsia="Times New Roman" w:cs="Arial" w:ascii="Arial" w:hAnsi="Arial"/>
            <w:b/>
            <w:bCs/>
            <w:color w:val="0000FF"/>
            <w:u w:val="single"/>
          </w:rPr>
          <w:t>625/82</w:t>
        </w:r>
      </w:hyperlink>
      <w:r>
        <w:rPr>
          <w:rFonts w:eastAsia="Times New Roman" w:cs="Arial" w:ascii="Arial" w:hAnsi="Arial"/>
          <w:b/>
          <w:bCs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חלמי אבו מוך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 xml:space="preserve">מדינת ישראל </w:t>
      </w:r>
      <w:r>
        <w:rPr>
          <w:rFonts w:eastAsia="Times New Roman" w:cs="Arial" w:ascii="Arial" w:hAnsi="Arial"/>
          <w:b/>
          <w:bCs/>
          <w:rtl w:val="true"/>
        </w:rPr>
        <w:t>(</w:t>
      </w:r>
      <w:r>
        <w:rPr>
          <w:rFonts w:ascii="Arial" w:hAnsi="Arial" w:eastAsia="Times New Roman" w:cs="Arial"/>
          <w:b/>
          <w:b/>
          <w:bCs/>
          <w:rtl w:val="true"/>
        </w:rPr>
        <w:t>לא פורסם</w:t>
      </w:r>
      <w:r>
        <w:rPr>
          <w:rFonts w:eastAsia="Times New Roman" w:cs="Arial" w:ascii="Arial" w:hAnsi="Arial"/>
          <w:b/>
          <w:bCs/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ascii="Arial" w:hAnsi="Arial" w:eastAsia="Times New Roman" w:cs="Arial"/>
          <w:rtl w:val="true"/>
        </w:rPr>
        <w:t>ב</w:t>
      </w:r>
      <w:hyperlink r:id="rId12"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eastAsia="Times New Roman"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Arial" w:ascii="Arial" w:hAnsi="Arial"/>
            <w:color w:val="0000FF"/>
            <w:u w:val="single"/>
          </w:rPr>
          <w:t>2718/04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פואד אבו דאחל נגד מדינת ישראל</w:t>
      </w:r>
      <w:r>
        <w:rPr>
          <w:rFonts w:ascii="Arial" w:hAnsi="Arial" w:eastAsia="Times New Roman" w:cs="Arial"/>
          <w:rtl w:val="true"/>
        </w:rPr>
        <w:t xml:space="preserve"> </w:t>
      </w:r>
      <w:r>
        <w:rPr>
          <w:rFonts w:eastAsia="Times New Roman" w:cs="Arial" w:ascii="Arial" w:hAnsi="Arial"/>
          <w:rtl w:val="true"/>
        </w:rPr>
        <w:t>(</w:t>
      </w:r>
      <w:r>
        <w:rPr>
          <w:rFonts w:eastAsia="Times New Roman" w:cs="Arial" w:ascii="Arial" w:hAnsi="Arial"/>
        </w:rPr>
        <w:t>29.3.2004</w:t>
      </w:r>
      <w:r>
        <w:rPr>
          <w:rFonts w:eastAsia="Times New Roman" w:cs="Arial" w:ascii="Arial" w:hAnsi="Arial"/>
          <w:rtl w:val="true"/>
        </w:rPr>
        <w:t xml:space="preserve">) </w:t>
      </w:r>
      <w:r>
        <w:rPr>
          <w:rFonts w:ascii="Arial" w:hAnsi="Arial" w:eastAsia="Times New Roman" w:cs="Arial"/>
          <w:rtl w:val="true"/>
        </w:rPr>
        <w:t>צוין כי עבירה של החזקת נשק מצדיקה עונש מאחורי סורג ובריח וזאת גם במקרים שהנאשמים נעדרי עבר פלילי</w:t>
      </w:r>
      <w:r>
        <w:rPr>
          <w:rFonts w:eastAsia="Times New Roman" w:cs="Arial" w:ascii="Arial" w:hAnsi="Arial"/>
          <w:rtl w:val="true"/>
        </w:rPr>
        <w:t xml:space="preserve">: </w:t>
      </w:r>
    </w:p>
    <w:p>
      <w:pPr>
        <w:pStyle w:val="Normal"/>
        <w:spacing w:before="0" w:after="0"/>
        <w:ind w:start="1076" w:end="567"/>
        <w:contextualSpacing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b/>
          <w:b/>
          <w:bCs/>
          <w:rtl w:val="true"/>
        </w:rPr>
        <w:t>יוער כי הסכנה הטמונה בעבירה החמורה של החזקת נשק מצדיקה הטלת עונשי מאסר לריצוי בפועל גם על מי שזו עבירתו הראשונה</w:t>
      </w:r>
      <w:r>
        <w:rPr>
          <w:rFonts w:eastAsia="Times New Roman" w:cs="Arial" w:ascii="Arial" w:hAnsi="Arial"/>
          <w:b/>
          <w:bCs/>
          <w:rtl w:val="true"/>
        </w:rPr>
        <w:t xml:space="preserve">. </w:t>
      </w:r>
      <w:r>
        <w:rPr>
          <w:rFonts w:ascii="Arial" w:hAnsi="Arial" w:eastAsia="Times New Roman" w:cs="Arial"/>
          <w:b/>
          <w:b/>
          <w:bCs/>
          <w:rtl w:val="true"/>
        </w:rPr>
        <w:t>בבוא בית</w:t>
      </w:r>
      <w:r>
        <w:rPr>
          <w:rFonts w:eastAsia="Times New Roman" w:cs="Arial" w:ascii="Arial" w:hAnsi="Arial"/>
          <w:b/>
          <w:bCs/>
          <w:rtl w:val="true"/>
        </w:rPr>
        <w:t>-</w:t>
      </w:r>
      <w:r>
        <w:rPr>
          <w:rFonts w:ascii="Arial" w:hAnsi="Arial" w:eastAsia="Times New Roman" w:cs="Arial"/>
          <w:b/>
          <w:b/>
          <w:bCs/>
          <w:rtl w:val="true"/>
        </w:rPr>
        <w:t>המשפט לשקול את הענישה בעבירות מסוג זה</w:t>
      </w:r>
      <w:r>
        <w:rPr>
          <w:rFonts w:eastAsia="Times New Roman" w:cs="Arial" w:ascii="Arial" w:hAnsi="Arial"/>
          <w:b/>
          <w:bCs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Fonts w:eastAsia="Times New Roman" w:cs="Arial" w:ascii="Arial" w:hAnsi="Arial"/>
          <w:b/>
          <w:bCs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rtl w:val="true"/>
        </w:rPr>
        <w:t>על פני הנסיבות האישיות של העבריין</w:t>
      </w:r>
      <w:r>
        <w:rPr>
          <w:rFonts w:eastAsia="Times New Roman"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ascii="Arial" w:hAnsi="Arial" w:eastAsia="Times New Roman" w:cs="Arial"/>
          <w:rtl w:val="true"/>
        </w:rPr>
        <w:t>ב</w:t>
      </w:r>
      <w:hyperlink r:id="rId13"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Arial" w:ascii="Arial" w:hAnsi="Arial"/>
            <w:color w:val="0000FF"/>
            <w:u w:val="single"/>
          </w:rPr>
          <w:t>2368/11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ג</w:t>
      </w:r>
      <w:r>
        <w:rPr>
          <w:rFonts w:eastAsia="Times New Roman" w:cs="Arial" w:ascii="Arial" w:hAnsi="Arial"/>
          <w:b/>
          <w:bCs/>
          <w:rtl w:val="true"/>
        </w:rPr>
        <w:t>'</w:t>
      </w:r>
      <w:r>
        <w:rPr>
          <w:rFonts w:ascii="Arial" w:hAnsi="Arial" w:eastAsia="Times New Roman" w:cs="Arial"/>
          <w:b/>
          <w:b/>
          <w:bCs/>
          <w:rtl w:val="true"/>
        </w:rPr>
        <w:t>מאל נפאע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>ציין בית</w:t>
      </w:r>
      <w:r>
        <w:rPr>
          <w:rFonts w:eastAsia="Times New Roman" w:cs="Arial" w:ascii="Arial" w:hAnsi="Arial"/>
          <w:rtl w:val="true"/>
        </w:rPr>
        <w:t>-</w:t>
      </w:r>
      <w:r>
        <w:rPr>
          <w:rFonts w:ascii="Arial" w:hAnsi="Arial" w:eastAsia="Times New Roman" w:cs="Arial"/>
          <w:rtl w:val="true"/>
        </w:rPr>
        <w:t>המשפט כי</w:t>
      </w:r>
      <w:r>
        <w:rPr>
          <w:rFonts w:eastAsia="Times New Roman" w:cs="Arial" w:ascii="Arial" w:hAnsi="Arial"/>
          <w:rtl w:val="true"/>
        </w:rPr>
        <w:t>:</w:t>
      </w:r>
    </w:p>
    <w:p>
      <w:pPr>
        <w:pStyle w:val="Normal"/>
        <w:spacing w:before="0" w:after="0"/>
        <w:ind w:start="1076" w:end="567"/>
        <w:contextualSpacing/>
        <w:jc w:val="both"/>
        <w:rPr/>
      </w:pPr>
      <w:r>
        <w:rPr>
          <w:rFonts w:ascii="Arial" w:hAnsi="Arial" w:eastAsia="Times New Roman" w:cs="Arial"/>
          <w:b/>
          <w:b/>
          <w:bCs/>
          <w:rtl w:val="true"/>
        </w:rPr>
        <w:t xml:space="preserve">על הצורך להחמיר את רמת הענישה בהקשר זה עמד בית המשפט כבר לפני שנים באחדות באומרו </w:t>
      </w:r>
      <w:r>
        <w:rPr>
          <w:rFonts w:eastAsia="Times New Roman" w:cs="Arial" w:ascii="Arial" w:hAnsi="Arial"/>
          <w:b/>
          <w:bCs/>
          <w:rtl w:val="true"/>
        </w:rPr>
        <w:t>"</w:t>
      </w:r>
      <w:r>
        <w:rPr>
          <w:rFonts w:ascii="Arial" w:hAnsi="Arial" w:eastAsia="Times New Roman" w:cs="Arial"/>
          <w:b/>
          <w:b/>
          <w:bCs/>
          <w:rtl w:val="true"/>
        </w:rPr>
        <w:t>גם אם נכון הדבר כי עד כה רמת הענישה בעבירות של החזקת נשק אינה גבוהה</w:t>
      </w:r>
      <w:r>
        <w:rPr>
          <w:rFonts w:eastAsia="Times New Roman" w:cs="Arial" w:ascii="Arial" w:hAnsi="Arial"/>
          <w:b/>
          <w:bCs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rtl w:val="true"/>
        </w:rPr>
        <w:t>הרי שהמציאות השוררת היום בארץ – זמינותו של נשק חם ורב עוצמה שיש עמו פוטנציאל להסלמה באלימות העבריינית והאידיאולוגית כאחד – מחייבת מתן ביטוי עונשי הולם והחמרה ברמת הענישה</w:t>
      </w:r>
      <w:r>
        <w:rPr>
          <w:rFonts w:eastAsia="Times New Roman" w:cs="Arial" w:ascii="Arial" w:hAnsi="Arial"/>
          <w:b/>
          <w:bCs/>
          <w:rtl w:val="true"/>
        </w:rPr>
        <w:t>"</w:t>
      </w:r>
      <w:r>
        <w:rPr>
          <w:rFonts w:eastAsia="Times New Roman" w:cs="Arial" w:ascii="Arial" w:hAnsi="Arial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</w:t>
      </w:r>
      <w:hyperlink r:id="rId14">
        <w:r>
          <w:rPr>
            <w:rStyle w:val="Hyperlink"/>
            <w:rFonts w:eastAsia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4329/10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מוחמד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איסמאעיל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</w:t>
      </w:r>
      <w:r>
        <w:rPr>
          <w:rFonts w:eastAsia="Times New Roman"/>
          <w:b/>
          <w:bCs/>
          <w:rtl w:val="true"/>
        </w:rPr>
        <w:t xml:space="preserve">' </w:t>
      </w:r>
      <w:r>
        <w:rPr>
          <w:rFonts w:eastAsia="Times New Roman"/>
          <w:b/>
          <w:b/>
          <w:bCs/>
          <w:rtl w:val="true"/>
        </w:rPr>
        <w:t>מדינת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ישראל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</w:rPr>
        <w:t>25.10.10</w:t>
      </w:r>
      <w:r>
        <w:rPr>
          <w:rFonts w:eastAsia="Times New Roman"/>
          <w:rtl w:val="true"/>
        </w:rPr>
        <w:t xml:space="preserve">) </w:t>
      </w:r>
      <w:r>
        <w:rPr>
          <w:rFonts w:eastAsia="Times New Roman"/>
          <w:rtl w:val="true"/>
        </w:rPr>
        <w:t>נדרש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העליון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לערעורו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שהחזיק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באקדח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ונצור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ונדון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r>
        <w:rPr>
          <w:rFonts w:eastAsia="Times New Roman"/>
          <w:rtl w:val="true"/>
        </w:rPr>
        <w:t>-</w:t>
      </w:r>
      <w:r>
        <w:rPr>
          <w:rFonts w:eastAsia="Times New Roman"/>
        </w:rPr>
        <w:t>20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לצד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קנס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בסך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10,000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תנאי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המדובר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בסטודנט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צעיר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נעדר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פלילי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המליץ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להסתפק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העליון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>: "</w:t>
      </w:r>
      <w:r>
        <w:rPr>
          <w:rFonts w:eastAsia="Times New Roman"/>
          <w:b/>
          <w:b/>
          <w:bCs/>
          <w:rtl w:val="true"/>
        </w:rPr>
        <w:t>החזקת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נשק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בידי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שאינו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מורשה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לכך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מהווה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גורם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סיכון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מובהק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לציבור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ועל</w:t>
      </w:r>
      <w:r>
        <w:rPr>
          <w:rFonts w:eastAsia="Times New Roman"/>
          <w:b/>
          <w:bCs/>
          <w:rtl w:val="true"/>
        </w:rPr>
        <w:t>-</w:t>
      </w:r>
      <w:r>
        <w:rPr>
          <w:rFonts w:eastAsia="Times New Roman"/>
          <w:b/>
          <w:b/>
          <w:bCs/>
          <w:rtl w:val="true"/>
        </w:rPr>
        <w:t>כן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הדגישה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הפסיקה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כי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מבצעיהן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עבירות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מסוג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זה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עלולים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לשלם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כך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גם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במחיר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כליאתם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מאחורי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סורג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ובריח</w:t>
      </w:r>
      <w:r>
        <w:rPr>
          <w:rFonts w:eastAsia="Times New Roman"/>
          <w:rtl w:val="true"/>
        </w:rPr>
        <w:t>".</w:t>
      </w:r>
      <w:r>
        <w:rPr>
          <w:rFonts w:eastAsia="Times New Roman"/>
          <w:b/>
          <w:bCs/>
          <w:rtl w:val="true"/>
        </w:rPr>
        <w:t xml:space="preserve">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</w:t>
      </w:r>
      <w:hyperlink r:id="rId15">
        <w:r>
          <w:rPr>
            <w:rStyle w:val="Hyperlink"/>
            <w:rFonts w:eastAsia="Times New Roman"/>
            <w:color w:val="0000FF"/>
            <w:u w:val="single"/>
            <w:rtl w:val="true"/>
          </w:rPr>
          <w:t>עפ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י–ם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Times New Roman"/>
            <w:color w:val="0000FF"/>
            <w:u w:val="single"/>
          </w:rPr>
          <w:t>18257-03-16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מדינת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ישראל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</w:t>
      </w:r>
      <w:r>
        <w:rPr>
          <w:rFonts w:eastAsia="Times New Roman"/>
          <w:b/>
          <w:bCs/>
          <w:rtl w:val="true"/>
        </w:rPr>
        <w:t xml:space="preserve">' </w:t>
      </w:r>
      <w:r>
        <w:rPr>
          <w:rFonts w:eastAsia="Times New Roman"/>
          <w:b/>
          <w:b/>
          <w:bCs/>
          <w:rtl w:val="true"/>
        </w:rPr>
        <w:t>נסים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טוויל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</w:rPr>
        <w:t>6.12.16</w:t>
      </w:r>
      <w:r>
        <w:rPr>
          <w:rFonts w:eastAsia="Times New Roman"/>
          <w:rtl w:val="true"/>
        </w:rPr>
        <w:t xml:space="preserve">) </w:t>
      </w:r>
      <w:r>
        <w:rPr>
          <w:rFonts w:eastAsia="Times New Roman"/>
          <w:rtl w:val="true"/>
        </w:rPr>
        <w:t>נדרש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המחוזי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בירושלים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לערעור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גזר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דינו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מערער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שהורשע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בהחזקת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אקדח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ושתי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מחסניות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ביחס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אליהם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טען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מצא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והתעתד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למסור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לרשויות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המדובר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בצעיר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המקיים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אורח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נורמטיבי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לרבות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תעסוקה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יציבה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ואשר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המליץ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להימנע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מכליאתו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מאחורי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סורג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ובריח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השלום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קבע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לנוע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6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לריצוי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</w:rPr>
        <w:t>18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ונוכח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המלצת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העדר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הפלילי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וקיום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אורח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חיים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נורמטיבי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תוך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שנתן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לחרטה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הכנה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ולקח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בחשבון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ימי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מעצרו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נאשם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דן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לריצוי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בדרך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עבודות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המחוזי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בירושלים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: </w:t>
      </w:r>
    </w:p>
    <w:p>
      <w:pPr>
        <w:pStyle w:val="Normal"/>
        <w:ind w:start="1076" w:end="567"/>
        <w:jc w:val="both"/>
        <w:rPr/>
      </w:pPr>
      <w:r>
        <w:rPr>
          <w:rFonts w:eastAsia="Times New Roman"/>
          <w:b/>
          <w:b/>
          <w:bCs/>
          <w:rtl w:val="true"/>
        </w:rPr>
        <w:t>מסקירה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כללית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הפסיקה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בשנים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האחרונות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עולה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מגמה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ברורה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החמרה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הדרגתית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בענישה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בגין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עבירות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נשק</w:t>
      </w:r>
      <w:r>
        <w:rPr>
          <w:rFonts w:eastAsia="Times New Roman"/>
          <w:b/>
          <w:bCs/>
          <w:rtl w:val="true"/>
        </w:rPr>
        <w:t>... ...</w:t>
      </w:r>
      <w:r>
        <w:rPr>
          <w:rFonts w:eastAsia="Times New Roman"/>
          <w:b/>
          <w:b/>
          <w:bCs/>
          <w:rtl w:val="true"/>
        </w:rPr>
        <w:t>עבירות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נשק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טומנות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בחובן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פוטנציאל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נזק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משמעותי</w:t>
      </w:r>
      <w:r>
        <w:rPr>
          <w:rFonts w:eastAsia="Times New Roman"/>
          <w:b/>
          <w:bCs/>
          <w:rtl w:val="true"/>
        </w:rPr>
        <w:t xml:space="preserve">. </w:t>
      </w:r>
      <w:r>
        <w:rPr>
          <w:rFonts w:eastAsia="Times New Roman"/>
          <w:b/>
          <w:b/>
          <w:bCs/>
          <w:rtl w:val="true"/>
        </w:rPr>
        <w:t>החזקת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נשק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בידי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אדם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שאינו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מורשה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לכך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וללא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פיקוח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עלול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להוביל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לתוצאות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קשות</w:t>
      </w:r>
      <w:r>
        <w:rPr>
          <w:rFonts w:eastAsia="Times New Roman"/>
          <w:b/>
          <w:bCs/>
          <w:rtl w:val="true"/>
        </w:rPr>
        <w:t>... ...</w:t>
      </w:r>
      <w:r>
        <w:rPr>
          <w:rFonts w:eastAsia="Times New Roman"/>
          <w:b/>
          <w:b/>
          <w:bCs/>
          <w:rtl w:val="true"/>
        </w:rPr>
        <w:t>בנוסף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הנשק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עלול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להתגלגל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לידיים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אחרות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ולהקים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סיכון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ממשי</w:t>
      </w:r>
      <w:r>
        <w:rPr>
          <w:rFonts w:eastAsia="Times New Roman"/>
          <w:b/>
          <w:bCs/>
          <w:rtl w:val="true"/>
        </w:rPr>
        <w:t xml:space="preserve">. </w:t>
      </w:r>
      <w:r>
        <w:rPr>
          <w:rFonts w:eastAsia="Times New Roman"/>
          <w:b/>
          <w:b/>
          <w:bCs/>
          <w:rtl w:val="true"/>
        </w:rPr>
        <w:t>אכן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עבירות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החזקת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נשק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מצויות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ברף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התחתון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במדרג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החומרה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היחסי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שקבע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המחוקק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לעבירות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נשק</w:t>
      </w:r>
      <w:r>
        <w:rPr>
          <w:rFonts w:eastAsia="Times New Roman"/>
          <w:b/>
          <w:bCs/>
          <w:rtl w:val="true"/>
        </w:rPr>
        <w:t>... ...</w:t>
      </w:r>
      <w:r>
        <w:rPr>
          <w:rFonts w:eastAsia="Times New Roman"/>
          <w:b/>
          <w:b/>
          <w:bCs/>
          <w:rtl w:val="true"/>
        </w:rPr>
        <w:t>עם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זאת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הרף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התחתון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המתחם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איננו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מאפשר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מאסר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בפועל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בעבודות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שירות</w:t>
      </w:r>
      <w:r>
        <w:rPr>
          <w:rFonts w:eastAsia="Times New Roman"/>
          <w:b/>
          <w:bCs/>
          <w:rtl w:val="true"/>
        </w:rPr>
        <w:t>...</w:t>
      </w:r>
    </w:p>
    <w:p>
      <w:pPr>
        <w:pStyle w:val="Normal"/>
        <w:spacing w:lineRule="auto" w:line="360"/>
        <w:ind w:end="0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</w:t>
      </w:r>
      <w:hyperlink r:id="rId16">
        <w:r>
          <w:rPr>
            <w:rStyle w:val="Hyperlink"/>
            <w:rFonts w:eastAsia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65033-12-15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מדינת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ישראל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נ</w:t>
      </w:r>
      <w:r>
        <w:rPr>
          <w:rFonts w:eastAsia="Times New Roman"/>
          <w:b/>
          <w:bCs/>
          <w:rtl w:val="true"/>
        </w:rPr>
        <w:t xml:space="preserve">' </w:t>
      </w:r>
      <w:r>
        <w:rPr>
          <w:rFonts w:eastAsia="Times New Roman"/>
          <w:b/>
          <w:b/>
          <w:bCs/>
          <w:rtl w:val="true"/>
        </w:rPr>
        <w:t>זניד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ואח</w:t>
      </w:r>
      <w:r>
        <w:rPr>
          <w:rFonts w:eastAsia="Times New Roman"/>
          <w:b/>
          <w:bCs/>
          <w:rtl w:val="true"/>
        </w:rPr>
        <w:t>'</w:t>
      </w:r>
      <w:r>
        <w:rPr>
          <w:rFonts w:eastAsia="Times New Roman"/>
          <w:rtl w:val="true"/>
        </w:rPr>
        <w:t xml:space="preserve"> (</w:t>
      </w:r>
      <w:r>
        <w:rPr>
          <w:rFonts w:eastAsia="Times New Roman"/>
        </w:rPr>
        <w:t>6.12.16</w:t>
      </w:r>
      <w:r>
        <w:rPr>
          <w:rFonts w:eastAsia="Times New Roman"/>
          <w:rtl w:val="true"/>
        </w:rPr>
        <w:t xml:space="preserve">) </w:t>
      </w:r>
      <w:r>
        <w:rPr>
          <w:rFonts w:eastAsia="Times New Roman"/>
          <w:rtl w:val="true"/>
        </w:rPr>
        <w:t>הנ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ציין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חברי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כב</w:t>
      </w:r>
      <w:r>
        <w:rPr>
          <w:rFonts w:eastAsia="Times New Roman"/>
          <w:rtl w:val="true"/>
        </w:rPr>
        <w:t xml:space="preserve">' </w:t>
      </w:r>
      <w:r>
        <w:rPr>
          <w:rFonts w:eastAsia="Times New Roman"/>
          <w:rtl w:val="true"/>
        </w:rPr>
        <w:t>השופט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טולילה</w:t>
      </w:r>
      <w:r>
        <w:rPr>
          <w:rFonts w:eastAsia="Times New Roman"/>
          <w:rtl w:val="true"/>
        </w:rPr>
        <w:t>:</w:t>
      </w:r>
      <w:r>
        <w:rPr>
          <w:rFonts w:eastAsia="Times New Roman" w:cs="Arial" w:ascii="Arial" w:hAnsi="Arial"/>
          <w:rtl w:val="true"/>
        </w:rPr>
        <w:t xml:space="preserve"> </w:t>
      </w:r>
    </w:p>
    <w:p>
      <w:pPr>
        <w:pStyle w:val="Normal"/>
        <w:spacing w:before="0" w:after="0"/>
        <w:ind w:start="1076" w:end="567"/>
        <w:contextualSpacing/>
        <w:jc w:val="both"/>
        <w:rPr/>
      </w:pPr>
      <w:r>
        <w:rPr>
          <w:rFonts w:ascii="Arial" w:hAnsi="Arial" w:eastAsia="Times New Roman" w:cs="Arial"/>
          <w:b/>
          <w:b/>
          <w:bCs/>
          <w:rtl w:val="true"/>
        </w:rPr>
        <w:t>אשר למדיניות הענישה הנהוגה בעבירה דנן הרי שבדומה לעבירות רבות בקודקס הפלילי</w:t>
      </w:r>
      <w:r>
        <w:rPr>
          <w:rFonts w:eastAsia="Times New Roman" w:cs="Arial" w:ascii="Arial" w:hAnsi="Arial"/>
          <w:b/>
          <w:bCs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rtl w:val="true"/>
        </w:rPr>
        <w:t>ניתן למצוא ספקטרום רחב ומגוון של ענישה</w:t>
      </w:r>
      <w:r>
        <w:rPr>
          <w:rFonts w:eastAsia="Times New Roman" w:cs="Arial" w:ascii="Arial" w:hAnsi="Arial"/>
          <w:b/>
          <w:bCs/>
          <w:rtl w:val="true"/>
        </w:rPr>
        <w:t xml:space="preserve">. </w:t>
      </w:r>
      <w:r>
        <w:rPr>
          <w:rFonts w:ascii="Arial" w:hAnsi="Arial" w:eastAsia="Times New Roman" w:cs="Arial"/>
          <w:b/>
          <w:b/>
          <w:bCs/>
          <w:rtl w:val="true"/>
        </w:rPr>
        <w:t>הגם כך וכ</w:t>
      </w:r>
      <w:r>
        <w:rPr>
          <w:rFonts w:eastAsia="Times New Roman" w:cs="Arial" w:ascii="Arial" w:hAnsi="Arial"/>
          <w:b/>
          <w:bCs/>
          <w:rtl w:val="true"/>
        </w:rPr>
        <w:t>"</w:t>
      </w:r>
      <w:r>
        <w:rPr>
          <w:rFonts w:ascii="Arial" w:hAnsi="Arial" w:eastAsia="Times New Roman" w:cs="Arial"/>
          <w:b/>
          <w:b/>
          <w:bCs/>
          <w:rtl w:val="true"/>
        </w:rPr>
        <w:t>כלל אצבע</w:t>
      </w:r>
      <w:r>
        <w:rPr>
          <w:rFonts w:eastAsia="Times New Roman" w:cs="Arial" w:ascii="Arial" w:hAnsi="Arial"/>
          <w:b/>
          <w:bCs/>
          <w:rtl w:val="true"/>
        </w:rPr>
        <w:t xml:space="preserve">" </w:t>
      </w:r>
      <w:r>
        <w:rPr>
          <w:rFonts w:ascii="Arial" w:hAnsi="Arial" w:eastAsia="Times New Roman" w:cs="Arial"/>
          <w:b/>
          <w:b/>
          <w:bCs/>
          <w:rtl w:val="true"/>
        </w:rPr>
        <w:t>ניתן לומר כי בעבירות שעניינן החזקה ונשיאת נשק</w:t>
      </w:r>
      <w:r>
        <w:rPr>
          <w:rFonts w:eastAsia="Times New Roman" w:cs="Arial" w:ascii="Arial" w:hAnsi="Arial"/>
          <w:b/>
          <w:bCs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rtl w:val="true"/>
        </w:rPr>
        <w:t>העונש על דרך הכלל הינו מאסר בפועל</w:t>
      </w:r>
      <w:r>
        <w:rPr>
          <w:rFonts w:eastAsia="Times New Roman" w:cs="Arial" w:ascii="Arial" w:hAnsi="Arial"/>
          <w:b/>
          <w:bCs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rtl w:val="true"/>
        </w:rPr>
        <w:t>שתחילתו מספר חודשים ויכול ויגיע לכדי שנה וחצי ויותר בגין כל עבירה</w:t>
      </w:r>
      <w:r>
        <w:rPr>
          <w:rFonts w:eastAsia="Times New Roman" w:cs="Arial" w:ascii="Arial" w:hAnsi="Arial"/>
          <w:b/>
          <w:bCs/>
          <w:rtl w:val="true"/>
        </w:rPr>
        <w:t xml:space="preserve">. </w:t>
      </w:r>
      <w:r>
        <w:rPr>
          <w:rFonts w:ascii="Arial" w:hAnsi="Arial" w:eastAsia="Times New Roman" w:cs="Arial"/>
          <w:b/>
          <w:b/>
          <w:bCs/>
          <w:rtl w:val="true"/>
        </w:rPr>
        <w:t xml:space="preserve">בעבירות אלו בית המשפט שת לבו בין היתר </w:t>
      </w:r>
      <w:r>
        <w:rPr>
          <w:rFonts w:ascii="Arial" w:hAnsi="Arial" w:eastAsia="Times New Roman" w:cs="Arial"/>
          <w:b/>
          <w:b/>
          <w:bCs/>
          <w:u w:val="single"/>
          <w:rtl w:val="true"/>
        </w:rPr>
        <w:t>לסוג האמל</w:t>
      </w:r>
      <w:r>
        <w:rPr>
          <w:rFonts w:eastAsia="Times New Roman"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eastAsia="Times New Roman" w:cs="Arial"/>
          <w:b/>
          <w:b/>
          <w:bCs/>
          <w:u w:val="single"/>
          <w:rtl w:val="true"/>
        </w:rPr>
        <w:t>ח</w:t>
      </w:r>
      <w:r>
        <w:rPr>
          <w:rFonts w:eastAsia="Times New Roman" w:cs="Arial" w:ascii="Arial" w:hAnsi="Arial"/>
          <w:b/>
          <w:bCs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u w:val="single"/>
          <w:rtl w:val="true"/>
        </w:rPr>
        <w:t>כמותו</w:t>
      </w:r>
      <w:r>
        <w:rPr>
          <w:rFonts w:eastAsia="Times New Roman" w:cs="Arial" w:ascii="Arial" w:hAnsi="Arial"/>
          <w:b/>
          <w:bCs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u w:val="single"/>
          <w:rtl w:val="true"/>
        </w:rPr>
        <w:t>האם הנשק נמצא טעון ומוכן לפעולה אם לאו</w:t>
      </w:r>
      <w:r>
        <w:rPr>
          <w:rFonts w:eastAsia="Times New Roman" w:cs="Arial" w:ascii="Arial" w:hAnsi="Arial"/>
          <w:b/>
          <w:bCs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u w:val="single"/>
          <w:rtl w:val="true"/>
        </w:rPr>
        <w:t>מטרת ההחזקה</w:t>
      </w:r>
      <w:r>
        <w:rPr>
          <w:rFonts w:eastAsia="Times New Roman" w:cs="Arial" w:ascii="Arial" w:hAnsi="Arial"/>
          <w:b/>
          <w:bCs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u w:val="single"/>
          <w:rtl w:val="true"/>
        </w:rPr>
        <w:t>האם נעשה בו שימוש לרבות עבירות פליליות נלוות</w:t>
      </w:r>
      <w:r>
        <w:rPr>
          <w:rFonts w:eastAsia="Times New Roman" w:cs="Arial" w:ascii="Arial" w:hAnsi="Arial"/>
          <w:b/>
          <w:bCs/>
          <w:rtl w:val="true"/>
        </w:rPr>
        <w:t xml:space="preserve">, </w:t>
      </w:r>
      <w:r>
        <w:rPr>
          <w:rFonts w:ascii="Arial" w:hAnsi="Arial" w:eastAsia="Times New Roman" w:cs="Arial"/>
          <w:b/>
          <w:b/>
          <w:bCs/>
          <w:u w:val="single"/>
          <w:rtl w:val="true"/>
        </w:rPr>
        <w:t>משך החזקת הנשק</w:t>
      </w:r>
      <w:r>
        <w:rPr>
          <w:rFonts w:ascii="Arial" w:hAnsi="Arial" w:eastAsia="Times New Roman" w:cs="Arial"/>
          <w:b/>
          <w:b/>
          <w:bCs/>
          <w:rtl w:val="true"/>
        </w:rPr>
        <w:t xml:space="preserve">  </w:t>
      </w:r>
      <w:r>
        <w:rPr>
          <w:rFonts w:ascii="Arial" w:hAnsi="Arial" w:eastAsia="Times New Roman" w:cs="Arial"/>
          <w:b/>
          <w:b/>
          <w:bCs/>
          <w:u w:val="single"/>
          <w:rtl w:val="true"/>
        </w:rPr>
        <w:t>אופן החזקתו</w:t>
      </w:r>
      <w:r>
        <w:rPr>
          <w:rFonts w:ascii="Arial" w:hAnsi="Arial" w:eastAsia="Times New Roman" w:cs="Arial"/>
          <w:b/>
          <w:b/>
          <w:bCs/>
          <w:rtl w:val="true"/>
        </w:rPr>
        <w:t xml:space="preserve"> וכן יתר הנסיבות האופפות את האירוע</w:t>
      </w:r>
      <w:r>
        <w:rPr>
          <w:rFonts w:eastAsia="Times New Roman"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eastAsia="Times New Roman" w:cs="Arial"/>
          <w:b/>
          <w:bCs/>
        </w:rPr>
      </w:pPr>
      <w:r>
        <w:rPr>
          <w:rFonts w:eastAsia="Times New Roman"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ascii="Arial" w:hAnsi="Arial" w:eastAsia="Times New Roman" w:cs="Arial"/>
          <w:rtl w:val="true"/>
        </w:rPr>
        <w:t>ב</w:t>
      </w:r>
      <w:hyperlink r:id="rId17"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Arial" w:ascii="Arial" w:hAnsi="Arial"/>
            <w:color w:val="0000FF"/>
            <w:u w:val="single"/>
          </w:rPr>
          <w:t>7241/12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טאטור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</w:t>
      </w:r>
      <w:r>
        <w:rPr>
          <w:rFonts w:ascii="Arial" w:hAnsi="Arial" w:eastAsia="Times New Roman" w:cs="Arial"/>
          <w:rtl w:val="true"/>
        </w:rPr>
        <w:t xml:space="preserve"> </w:t>
      </w:r>
      <w:r>
        <w:rPr>
          <w:rFonts w:eastAsia="Times New Roman" w:cs="Arial" w:ascii="Arial" w:hAnsi="Arial"/>
          <w:rtl w:val="true"/>
        </w:rPr>
        <w:t>(</w:t>
      </w:r>
      <w:r>
        <w:rPr>
          <w:rFonts w:eastAsia="Times New Roman" w:cs="Arial" w:ascii="Arial" w:hAnsi="Arial"/>
        </w:rPr>
        <w:t>12.2.13</w:t>
      </w:r>
      <w:r>
        <w:rPr>
          <w:rFonts w:eastAsia="Times New Roman" w:cs="Arial" w:ascii="Arial" w:hAnsi="Arial"/>
          <w:rtl w:val="true"/>
        </w:rPr>
        <w:t xml:space="preserve">) </w:t>
      </w:r>
      <w:r>
        <w:rPr>
          <w:rFonts w:ascii="Arial" w:hAnsi="Arial" w:eastAsia="Times New Roman" w:cs="Arial"/>
          <w:rtl w:val="true"/>
        </w:rPr>
        <w:t>נדחה ערעור של נאשם אשר נדון ל</w:t>
      </w:r>
      <w:r>
        <w:rPr>
          <w:rFonts w:eastAsia="Times New Roman" w:cs="Arial" w:ascii="Arial" w:hAnsi="Arial"/>
          <w:rtl w:val="true"/>
        </w:rPr>
        <w:t>-</w:t>
      </w:r>
      <w:r>
        <w:rPr>
          <w:rFonts w:eastAsia="Times New Roman" w:cs="Arial" w:ascii="Arial" w:hAnsi="Arial"/>
        </w:rPr>
        <w:t>9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חודשים מאסר בפועל בגין עבירת החזקת נשק</w:t>
      </w:r>
      <w:r>
        <w:rPr>
          <w:rFonts w:eastAsia="Times New Roman" w:cs="Arial" w:ascii="Arial" w:hAnsi="Arial"/>
          <w:rtl w:val="true"/>
        </w:rPr>
        <w:t xml:space="preserve">. </w:t>
      </w:r>
      <w:r>
        <w:rPr>
          <w:rFonts w:ascii="Arial" w:hAnsi="Arial" w:eastAsia="Times New Roman" w:cs="Arial"/>
          <w:rtl w:val="true"/>
        </w:rPr>
        <w:t>המדובר במי אשר מסר אקדח לקרוב משפחתו על מנת שיירה באקדח במהלך חתונה</w:t>
      </w:r>
      <w:r>
        <w:rPr>
          <w:rFonts w:eastAsia="Times New Roman"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ascii="Arial" w:hAnsi="Arial" w:eastAsia="Times New Roman" w:cs="Arial"/>
          <w:rtl w:val="true"/>
        </w:rPr>
        <w:t>ב</w:t>
      </w:r>
      <w:hyperlink r:id="rId18"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Arial" w:ascii="Arial" w:hAnsi="Arial"/>
            <w:color w:val="0000FF"/>
            <w:u w:val="single"/>
          </w:rPr>
          <w:t>5604/11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נאסר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</w:t>
      </w:r>
      <w:r>
        <w:rPr>
          <w:rFonts w:ascii="Arial" w:hAnsi="Arial" w:eastAsia="Times New Roman" w:cs="Arial"/>
          <w:rtl w:val="true"/>
        </w:rPr>
        <w:t xml:space="preserve"> </w:t>
      </w:r>
      <w:r>
        <w:rPr>
          <w:rFonts w:eastAsia="Times New Roman" w:cs="Arial" w:ascii="Arial" w:hAnsi="Arial"/>
          <w:rtl w:val="true"/>
        </w:rPr>
        <w:t>(</w:t>
      </w:r>
      <w:r>
        <w:rPr>
          <w:rFonts w:eastAsia="Times New Roman" w:cs="Arial" w:ascii="Arial" w:hAnsi="Arial"/>
        </w:rPr>
        <w:t>5.10.11</w:t>
      </w:r>
      <w:r>
        <w:rPr>
          <w:rFonts w:eastAsia="Times New Roman" w:cs="Arial" w:ascii="Arial" w:hAnsi="Arial"/>
          <w:rtl w:val="true"/>
        </w:rPr>
        <w:t xml:space="preserve">) </w:t>
      </w:r>
      <w:r>
        <w:rPr>
          <w:rFonts w:ascii="Arial" w:hAnsi="Arial" w:eastAsia="Times New Roman" w:cs="Arial"/>
          <w:rtl w:val="true"/>
        </w:rPr>
        <w:t>נדחה ערעור מטעם נאשם אשר נדון ל</w:t>
      </w:r>
      <w:r>
        <w:rPr>
          <w:rFonts w:eastAsia="Times New Roman" w:cs="Arial" w:ascii="Arial" w:hAnsi="Arial"/>
          <w:rtl w:val="true"/>
        </w:rPr>
        <w:t>-</w:t>
      </w:r>
      <w:r>
        <w:rPr>
          <w:rFonts w:eastAsia="Times New Roman" w:cs="Arial" w:ascii="Arial" w:hAnsi="Arial"/>
        </w:rPr>
        <w:t>12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חודשי מאסר בגין עבירת החזקת נשק וזאת חרף נסיבות לקולא אשר התקיימו בעניינו</w:t>
      </w:r>
      <w:r>
        <w:rPr>
          <w:rFonts w:eastAsia="Times New Roman" w:cs="Arial" w:ascii="Arial" w:hAnsi="Arial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ascii="Arial" w:hAnsi="Arial" w:eastAsia="Times New Roman" w:cs="Arial"/>
          <w:rtl w:val="true"/>
        </w:rPr>
        <w:t>ב</w:t>
      </w:r>
      <w:hyperlink r:id="rId19"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Arial" w:ascii="Arial" w:hAnsi="Arial"/>
            <w:color w:val="0000FF"/>
            <w:u w:val="single"/>
          </w:rPr>
          <w:t>6294/10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אלקיעאן ואח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</w:t>
      </w:r>
      <w:r>
        <w:rPr>
          <w:rFonts w:ascii="Arial" w:hAnsi="Arial" w:eastAsia="Times New Roman" w:cs="Arial"/>
          <w:rtl w:val="true"/>
        </w:rPr>
        <w:t xml:space="preserve"> </w:t>
      </w:r>
      <w:r>
        <w:rPr>
          <w:rFonts w:eastAsia="Times New Roman" w:cs="Arial" w:ascii="Arial" w:hAnsi="Arial"/>
          <w:rtl w:val="true"/>
        </w:rPr>
        <w:t>(</w:t>
      </w:r>
      <w:r>
        <w:rPr>
          <w:rFonts w:eastAsia="Times New Roman" w:cs="Arial" w:ascii="Arial" w:hAnsi="Arial"/>
        </w:rPr>
        <w:t>13.2.11</w:t>
      </w:r>
      <w:r>
        <w:rPr>
          <w:rFonts w:eastAsia="Times New Roman" w:cs="Arial" w:ascii="Arial" w:hAnsi="Arial"/>
          <w:rtl w:val="true"/>
        </w:rPr>
        <w:t xml:space="preserve">) </w:t>
      </w:r>
      <w:r>
        <w:rPr>
          <w:rFonts w:ascii="Arial" w:hAnsi="Arial" w:eastAsia="Times New Roman" w:cs="Arial"/>
          <w:rtl w:val="true"/>
        </w:rPr>
        <w:t>נדחה ערעור מטעם ההגנה על חומרת העונש</w:t>
      </w:r>
      <w:r>
        <w:rPr>
          <w:rFonts w:eastAsia="Times New Roman" w:cs="Arial" w:ascii="Arial" w:hAnsi="Arial"/>
          <w:rtl w:val="true"/>
        </w:rPr>
        <w:t xml:space="preserve">. </w:t>
      </w:r>
      <w:r>
        <w:rPr>
          <w:rFonts w:ascii="Arial" w:hAnsi="Arial" w:eastAsia="Times New Roman" w:cs="Arial"/>
          <w:rtl w:val="true"/>
        </w:rPr>
        <w:t>המדובר במערערים אשר נתפס ברכב שבו נסעו אקדח טעון ומחסנית וכן אצל כל אחד מהמערערים גם נמצאה מחסנית נוספת</w:t>
      </w:r>
      <w:r>
        <w:rPr>
          <w:rFonts w:eastAsia="Times New Roman" w:cs="Arial" w:ascii="Arial" w:hAnsi="Arial"/>
          <w:rtl w:val="true"/>
        </w:rPr>
        <w:t xml:space="preserve">. </w:t>
      </w:r>
      <w:r>
        <w:rPr>
          <w:rFonts w:ascii="Arial" w:hAnsi="Arial" w:eastAsia="Times New Roman" w:cs="Arial"/>
          <w:rtl w:val="true"/>
        </w:rPr>
        <w:t>בגין מעשים אלו נדונו המערערים ל</w:t>
      </w:r>
      <w:r>
        <w:rPr>
          <w:rFonts w:eastAsia="Times New Roman" w:cs="Arial" w:ascii="Arial" w:hAnsi="Arial"/>
          <w:rtl w:val="true"/>
        </w:rPr>
        <w:t>-</w:t>
      </w:r>
      <w:r>
        <w:rPr>
          <w:rFonts w:eastAsia="Times New Roman" w:cs="Arial" w:ascii="Arial" w:hAnsi="Arial"/>
        </w:rPr>
        <w:t>10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חודשי מאסר בפועל</w:t>
      </w:r>
      <w:r>
        <w:rPr>
          <w:rFonts w:eastAsia="Times New Roman" w:cs="Arial" w:ascii="Arial" w:hAnsi="Arial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hyperlink r:id="rId20"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>בע</w:t>
        </w:r>
        <w:r>
          <w:rPr>
            <w:rStyle w:val="Hyperlink"/>
            <w:rFonts w:eastAsia="Times New Roman"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Arial" w:ascii="Arial" w:hAnsi="Arial"/>
            <w:color w:val="0000FF"/>
            <w:u w:val="single"/>
          </w:rPr>
          <w:t>6589/06</w:t>
        </w:r>
        <w:r>
          <w:rPr>
            <w:rStyle w:val="Hyperlink"/>
            <w:rFonts w:eastAsia="Times New Roman"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אדהאם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</w:t>
      </w:r>
      <w:r>
        <w:rPr>
          <w:rFonts w:ascii="Arial" w:hAnsi="Arial" w:eastAsia="Times New Roman" w:cs="Arial"/>
          <w:rtl w:val="true"/>
        </w:rPr>
        <w:t xml:space="preserve"> </w:t>
      </w:r>
      <w:r>
        <w:rPr>
          <w:rFonts w:eastAsia="Times New Roman" w:cs="Arial" w:ascii="Arial" w:hAnsi="Arial"/>
          <w:rtl w:val="true"/>
        </w:rPr>
        <w:t>(</w:t>
      </w:r>
      <w:r>
        <w:rPr>
          <w:rFonts w:eastAsia="Times New Roman" w:cs="Arial" w:ascii="Arial" w:hAnsi="Arial"/>
        </w:rPr>
        <w:t>5.12.06</w:t>
      </w:r>
      <w:r>
        <w:rPr>
          <w:rFonts w:eastAsia="Times New Roman" w:cs="Arial" w:ascii="Arial" w:hAnsi="Arial"/>
          <w:rtl w:val="true"/>
        </w:rPr>
        <w:t xml:space="preserve">) </w:t>
      </w:r>
      <w:r>
        <w:rPr>
          <w:rFonts w:ascii="Arial" w:hAnsi="Arial" w:eastAsia="Times New Roman" w:cs="Arial"/>
          <w:rtl w:val="true"/>
        </w:rPr>
        <w:t xml:space="preserve">נדחה ערעור של נאשם אשר הוטל עליו </w:t>
      </w:r>
      <w:r>
        <w:rPr>
          <w:rFonts w:eastAsia="Times New Roman" w:cs="Arial" w:ascii="Arial" w:hAnsi="Arial"/>
        </w:rPr>
        <w:t>8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חודשי מאסר בגין החזקת אקדח וכן מחסנית לאקדח זה</w:t>
      </w:r>
      <w:r>
        <w:rPr>
          <w:rFonts w:eastAsia="Times New Roman" w:cs="Arial" w:ascii="Arial" w:hAnsi="Arial"/>
          <w:rtl w:val="true"/>
        </w:rPr>
        <w:t xml:space="preserve">. </w:t>
      </w:r>
      <w:r>
        <w:rPr>
          <w:rFonts w:ascii="Arial" w:hAnsi="Arial" w:eastAsia="Times New Roman" w:cs="Arial"/>
          <w:rtl w:val="true"/>
        </w:rPr>
        <w:t xml:space="preserve">יצוין כי המדובר בנאשם כבן </w:t>
      </w:r>
      <w:r>
        <w:rPr>
          <w:rFonts w:eastAsia="Times New Roman" w:cs="Arial" w:ascii="Arial" w:hAnsi="Arial"/>
        </w:rPr>
        <w:t>24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>ללא עבר פלילי</w:t>
      </w:r>
      <w:r>
        <w:rPr>
          <w:rFonts w:eastAsia="Times New Roman" w:cs="Arial" w:ascii="Arial" w:hAnsi="Arial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ascii="Arial" w:hAnsi="Arial" w:eastAsia="Times New Roman" w:cs="Arial"/>
          <w:rtl w:val="true"/>
        </w:rPr>
        <w:t>ב</w:t>
      </w:r>
      <w:hyperlink r:id="rId21"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>חיפה</w:t>
        </w:r>
        <w:r>
          <w:rPr>
            <w:rStyle w:val="Hyperlink"/>
            <w:rFonts w:eastAsia="Times New Roman"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Arial" w:ascii="Arial" w:hAnsi="Arial"/>
            <w:color w:val="0000FF"/>
            <w:u w:val="single"/>
          </w:rPr>
          <w:t>6059-02-12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גהגאה</w:t>
      </w:r>
      <w:r>
        <w:rPr>
          <w:rFonts w:ascii="Arial" w:hAnsi="Arial" w:eastAsia="Times New Roman" w:cs="Arial"/>
          <w:rtl w:val="true"/>
        </w:rPr>
        <w:t xml:space="preserve"> נדון עניינו של מי אשר הוטל עליו </w:t>
      </w:r>
      <w:r>
        <w:rPr>
          <w:rFonts w:eastAsia="Times New Roman" w:cs="Arial" w:ascii="Arial" w:hAnsi="Arial"/>
        </w:rPr>
        <w:t>6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חודשי מאסר בדרך של עבודות שירות בגין החזקת אקדח ושתי מחסניות</w:t>
      </w:r>
      <w:r>
        <w:rPr>
          <w:rFonts w:eastAsia="Times New Roman" w:cs="Arial" w:ascii="Arial" w:hAnsi="Arial"/>
          <w:rtl w:val="true"/>
        </w:rPr>
        <w:t xml:space="preserve">. </w:t>
      </w:r>
      <w:r>
        <w:rPr>
          <w:rFonts w:ascii="Arial" w:hAnsi="Arial" w:eastAsia="Times New Roman" w:cs="Arial"/>
          <w:rtl w:val="true"/>
        </w:rPr>
        <w:t>בית</w:t>
      </w:r>
      <w:r>
        <w:rPr>
          <w:rFonts w:eastAsia="Times New Roman" w:cs="Arial" w:ascii="Arial" w:hAnsi="Arial"/>
          <w:rtl w:val="true"/>
        </w:rPr>
        <w:t>-</w:t>
      </w:r>
      <w:r>
        <w:rPr>
          <w:rFonts w:ascii="Arial" w:hAnsi="Arial" w:eastAsia="Times New Roman" w:cs="Arial"/>
          <w:rtl w:val="true"/>
        </w:rPr>
        <w:t>המשפט המחוזי לא התערב ברכיב עונש המאסר אלא אך בגובה הקנס ובמאסר המותנה וזאת נוכח הודאתו ועובדת תפקודו הנורמטיבי של הנאשם</w:t>
      </w:r>
      <w:r>
        <w:rPr>
          <w:rFonts w:eastAsia="Times New Roman" w:cs="Arial" w:ascii="Arial" w:hAnsi="Arial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ascii="Arial" w:hAnsi="Arial" w:eastAsia="Times New Roman" w:cs="Arial"/>
          <w:rtl w:val="true"/>
        </w:rPr>
        <w:t>ב</w:t>
      </w:r>
      <w:hyperlink r:id="rId22"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eastAsia="Times New Roman"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Times New Roman" w:cs="Arial" w:ascii="Arial" w:hAnsi="Arial"/>
            <w:color w:val="0000FF"/>
            <w:u w:val="single"/>
          </w:rPr>
          <w:t>42118-08-16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האני אלגרגאוי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</w:t>
      </w:r>
      <w:r>
        <w:rPr>
          <w:rFonts w:ascii="Arial" w:hAnsi="Arial" w:eastAsia="Times New Roman" w:cs="Arial"/>
          <w:rtl w:val="true"/>
        </w:rPr>
        <w:t xml:space="preserve"> </w:t>
      </w:r>
      <w:r>
        <w:rPr>
          <w:rFonts w:eastAsia="Times New Roman" w:cs="Arial" w:ascii="Arial" w:hAnsi="Arial"/>
          <w:rtl w:val="true"/>
        </w:rPr>
        <w:t>(</w:t>
      </w:r>
      <w:r>
        <w:rPr>
          <w:rFonts w:eastAsia="Times New Roman" w:cs="Arial" w:ascii="Arial" w:hAnsi="Arial"/>
        </w:rPr>
        <w:t>5.10.16</w:t>
      </w:r>
      <w:r>
        <w:rPr>
          <w:rFonts w:eastAsia="Times New Roman" w:cs="Arial" w:ascii="Arial" w:hAnsi="Arial"/>
          <w:rtl w:val="true"/>
        </w:rPr>
        <w:t xml:space="preserve">) </w:t>
      </w:r>
      <w:r>
        <w:rPr>
          <w:rFonts w:ascii="Arial" w:hAnsi="Arial" w:eastAsia="Times New Roman" w:cs="Arial"/>
          <w:rtl w:val="true"/>
        </w:rPr>
        <w:t xml:space="preserve">נדחה ערעור על חומרת העונש לפיו הוטל על המערער עונש של </w:t>
      </w:r>
      <w:r>
        <w:rPr>
          <w:rFonts w:eastAsia="Times New Roman" w:cs="Arial" w:ascii="Arial" w:hAnsi="Arial"/>
        </w:rPr>
        <w:t>7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 xml:space="preserve">חודשי מאסר בפועל ועונש מאסר על תנאי של </w:t>
      </w:r>
      <w:r>
        <w:rPr>
          <w:rFonts w:eastAsia="Times New Roman" w:cs="Arial" w:ascii="Arial" w:hAnsi="Arial"/>
        </w:rPr>
        <w:t>10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חודשים</w:t>
      </w:r>
      <w:r>
        <w:rPr>
          <w:rFonts w:eastAsia="Times New Roman" w:cs="Arial" w:ascii="Arial" w:hAnsi="Arial"/>
          <w:rtl w:val="true"/>
        </w:rPr>
        <w:t xml:space="preserve">. </w:t>
      </w:r>
      <w:r>
        <w:rPr>
          <w:rFonts w:ascii="Arial" w:hAnsi="Arial" w:eastAsia="Times New Roman" w:cs="Arial"/>
          <w:rtl w:val="true"/>
        </w:rPr>
        <w:t>המדובר במי שהורשע על</w:t>
      </w:r>
      <w:r>
        <w:rPr>
          <w:rFonts w:eastAsia="Times New Roman" w:cs="Arial" w:ascii="Arial" w:hAnsi="Arial"/>
          <w:rtl w:val="true"/>
        </w:rPr>
        <w:t>-</w:t>
      </w:r>
      <w:r>
        <w:rPr>
          <w:rFonts w:ascii="Arial" w:hAnsi="Arial" w:eastAsia="Times New Roman" w:cs="Arial"/>
          <w:rtl w:val="true"/>
        </w:rPr>
        <w:t>פי הודאתו במסגרת הסדר טיעון בשני אישומים שונים לפיהם החזיק בביתו נשק מסוג רוס</w:t>
      </w:r>
      <w:r>
        <w:rPr>
          <w:rFonts w:eastAsia="Times New Roman" w:cs="Arial" w:ascii="Arial" w:hAnsi="Arial"/>
          <w:rtl w:val="true"/>
        </w:rPr>
        <w:t>"</w:t>
      </w:r>
      <w:r>
        <w:rPr>
          <w:rFonts w:ascii="Arial" w:hAnsi="Arial" w:eastAsia="Times New Roman" w:cs="Arial"/>
          <w:rtl w:val="true"/>
        </w:rPr>
        <w:t xml:space="preserve">ר </w:t>
      </w:r>
      <w:r>
        <w:rPr>
          <w:rFonts w:eastAsia="Times New Roman" w:cs="Times New Roman" w:ascii="Times New Roman" w:hAnsi="Times New Roman"/>
          <w:sz w:val="20"/>
          <w:szCs w:val="20"/>
        </w:rPr>
        <w:t>M-16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 xml:space="preserve">ואקדח </w:t>
      </w:r>
      <w:r>
        <w:rPr>
          <w:rFonts w:eastAsia="Times New Roman" w:cs="Arial" w:ascii="Arial" w:hAnsi="Arial"/>
          <w:rtl w:val="true"/>
        </w:rPr>
        <w:t>"</w:t>
      </w:r>
      <w:r>
        <w:rPr>
          <w:rFonts w:ascii="Arial" w:hAnsi="Arial" w:eastAsia="Times New Roman" w:cs="Arial"/>
          <w:rtl w:val="true"/>
        </w:rPr>
        <w:t>גלוק</w:t>
      </w:r>
      <w:r>
        <w:rPr>
          <w:rFonts w:eastAsia="Times New Roman" w:cs="Arial" w:ascii="Arial" w:hAnsi="Arial"/>
          <w:rtl w:val="true"/>
        </w:rPr>
        <w:t xml:space="preserve">" </w:t>
      </w:r>
      <w:r>
        <w:rPr>
          <w:rFonts w:ascii="Arial" w:hAnsi="Arial" w:eastAsia="Times New Roman" w:cs="Arial"/>
          <w:rtl w:val="true"/>
        </w:rPr>
        <w:t>שלא כדין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 xml:space="preserve">עוד החזיק בביתו ובשני מחסנים שונים </w:t>
      </w:r>
      <w:r>
        <w:rPr>
          <w:rFonts w:eastAsia="Times New Roman" w:cs="Arial" w:ascii="Arial" w:hAnsi="Arial"/>
        </w:rPr>
        <w:t>125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 xml:space="preserve">כדורי אקדח בקוטר </w:t>
      </w:r>
      <w:r>
        <w:rPr>
          <w:rFonts w:eastAsia="Times New Roman" w:cs="Arial" w:ascii="Arial" w:hAnsi="Arial"/>
        </w:rPr>
        <w:t>0.45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>ארגז פעולה צה</w:t>
      </w:r>
      <w:r>
        <w:rPr>
          <w:rFonts w:eastAsia="Times New Roman" w:cs="Arial" w:ascii="Arial" w:hAnsi="Arial"/>
          <w:rtl w:val="true"/>
        </w:rPr>
        <w:t>"</w:t>
      </w:r>
      <w:r>
        <w:rPr>
          <w:rFonts w:ascii="Arial" w:hAnsi="Arial" w:eastAsia="Times New Roman" w:cs="Arial"/>
          <w:rtl w:val="true"/>
        </w:rPr>
        <w:t xml:space="preserve">לי ובו </w:t>
      </w:r>
      <w:r>
        <w:rPr>
          <w:rFonts w:eastAsia="Times New Roman" w:cs="Arial" w:ascii="Arial" w:hAnsi="Arial"/>
        </w:rPr>
        <w:t>25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קופסאות תחמושת לרוס</w:t>
      </w:r>
      <w:r>
        <w:rPr>
          <w:rFonts w:eastAsia="Times New Roman" w:cs="Arial" w:ascii="Arial" w:hAnsi="Arial"/>
          <w:rtl w:val="true"/>
        </w:rPr>
        <w:t>"</w:t>
      </w:r>
      <w:r>
        <w:rPr>
          <w:rFonts w:ascii="Arial" w:hAnsi="Arial" w:eastAsia="Times New Roman" w:cs="Arial"/>
          <w:rtl w:val="true"/>
        </w:rPr>
        <w:t>ר</w:t>
      </w:r>
      <w:r>
        <w:rPr>
          <w:rFonts w:eastAsia="Times New Roman" w:cs="Times New Roman" w:ascii="Times New Roman" w:hAnsi="Times New Roman"/>
          <w:sz w:val="20"/>
          <w:szCs w:val="20"/>
        </w:rPr>
        <w:t>M-16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eastAsia="Times New Roman" w:cs="Arial" w:ascii="Arial" w:hAnsi="Arial"/>
          <w:rtl w:val="true"/>
        </w:rPr>
        <w:t xml:space="preserve">. </w:t>
      </w:r>
      <w:r>
        <w:rPr>
          <w:rFonts w:ascii="Arial" w:hAnsi="Arial" w:eastAsia="Times New Roman" w:cs="Arial"/>
          <w:rtl w:val="true"/>
        </w:rPr>
        <w:t>בסך</w:t>
      </w:r>
      <w:r>
        <w:rPr>
          <w:rFonts w:eastAsia="Times New Roman" w:cs="Arial" w:ascii="Arial" w:hAnsi="Arial"/>
          <w:rtl w:val="true"/>
        </w:rPr>
        <w:t>-</w:t>
      </w:r>
      <w:r>
        <w:rPr>
          <w:rFonts w:ascii="Arial" w:hAnsi="Arial" w:eastAsia="Times New Roman" w:cs="Arial"/>
          <w:rtl w:val="true"/>
        </w:rPr>
        <w:t xml:space="preserve">הכול החזיק </w:t>
      </w:r>
      <w:r>
        <w:rPr>
          <w:rFonts w:eastAsia="Times New Roman" w:cs="Arial" w:ascii="Arial" w:hAnsi="Arial"/>
        </w:rPr>
        <w:t>754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כדורים</w:t>
      </w:r>
      <w:r>
        <w:rPr>
          <w:rFonts w:eastAsia="Times New Roman" w:cs="Arial" w:ascii="Arial" w:hAnsi="Arial"/>
          <w:rtl w:val="true"/>
        </w:rPr>
        <w:t xml:space="preserve">. </w:t>
      </w:r>
      <w:r>
        <w:rPr>
          <w:rFonts w:ascii="Arial" w:hAnsi="Arial" w:eastAsia="Times New Roman" w:cs="Arial"/>
          <w:rtl w:val="true"/>
        </w:rPr>
        <w:t>המערער אף צולם כשהוא יורה ברוס</w:t>
      </w:r>
      <w:r>
        <w:rPr>
          <w:rFonts w:eastAsia="Times New Roman" w:cs="Arial" w:ascii="Arial" w:hAnsi="Arial"/>
          <w:rtl w:val="true"/>
        </w:rPr>
        <w:t>"</w:t>
      </w:r>
      <w:r>
        <w:rPr>
          <w:rFonts w:ascii="Arial" w:hAnsi="Arial" w:eastAsia="Times New Roman" w:cs="Arial"/>
          <w:rtl w:val="true"/>
        </w:rPr>
        <w:t>ר ה</w:t>
      </w:r>
      <w:r>
        <w:rPr>
          <w:rFonts w:eastAsia="Times New Roman" w:cs="Arial" w:ascii="Arial" w:hAnsi="Arial"/>
          <w:rtl w:val="true"/>
        </w:rPr>
        <w:t>-</w:t>
      </w:r>
      <w:r>
        <w:rPr>
          <w:rFonts w:eastAsia="Times New Roman" w:cs="Times New Roman" w:ascii="Times New Roman" w:hAnsi="Times New Roman"/>
          <w:sz w:val="20"/>
          <w:szCs w:val="20"/>
        </w:rPr>
        <w:t>M-16</w:t>
      </w:r>
      <w:r>
        <w:rPr>
          <w:rFonts w:eastAsia="Times New Roman" w:cs="Arial" w:ascii="Arial" w:hAnsi="Arial"/>
          <w:rtl w:val="true"/>
        </w:rPr>
        <w:t xml:space="preserve">. </w:t>
      </w:r>
      <w:r>
        <w:rPr>
          <w:rFonts w:ascii="Arial" w:hAnsi="Arial" w:eastAsia="Times New Roman" w:cs="Arial"/>
          <w:rtl w:val="true"/>
        </w:rPr>
        <w:t>יצוין כי המערער נעדר עבר פלילי</w:t>
      </w:r>
      <w:r>
        <w:rPr>
          <w:rFonts w:eastAsia="Times New Roman" w:cs="Arial" w:ascii="Arial" w:hAnsi="Arial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ascii="Arial" w:hAnsi="Arial" w:eastAsia="Times New Roman" w:cs="Arial"/>
          <w:rtl w:val="true"/>
        </w:rPr>
        <w:t>ב</w:t>
      </w:r>
      <w:hyperlink r:id="rId23"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eastAsia="Times New Roman"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Times New Roman" w:cs="Arial" w:ascii="Arial" w:hAnsi="Arial"/>
            <w:color w:val="0000FF"/>
            <w:u w:val="single"/>
          </w:rPr>
          <w:t>4334-11-15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אחמד נסראללה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>החמיר בית</w:t>
      </w:r>
      <w:r>
        <w:rPr>
          <w:rFonts w:eastAsia="Times New Roman" w:cs="Arial" w:ascii="Arial" w:hAnsi="Arial"/>
          <w:rtl w:val="true"/>
        </w:rPr>
        <w:t>-</w:t>
      </w:r>
      <w:r>
        <w:rPr>
          <w:rFonts w:ascii="Arial" w:hAnsi="Arial" w:eastAsia="Times New Roman" w:cs="Arial"/>
          <w:rtl w:val="true"/>
        </w:rPr>
        <w:t xml:space="preserve">המשפט המחוזי בעונשו של נאשם שהורשע בין היתר בעבירה של סיוע להחזקה נשק </w:t>
      </w:r>
      <w:r>
        <w:rPr>
          <w:rFonts w:eastAsia="Times New Roman" w:cs="Arial" w:ascii="Arial" w:hAnsi="Arial"/>
          <w:rtl w:val="true"/>
        </w:rPr>
        <w:t>(</w:t>
      </w:r>
      <w:r>
        <w:rPr>
          <w:rFonts w:ascii="Arial" w:hAnsi="Arial" w:eastAsia="Times New Roman" w:cs="Arial"/>
          <w:rtl w:val="true"/>
        </w:rPr>
        <w:t>התיר לשכן להחזיק בחומת ביתו תת</w:t>
      </w:r>
      <w:r>
        <w:rPr>
          <w:rFonts w:eastAsia="Times New Roman" w:cs="Arial" w:ascii="Arial" w:hAnsi="Arial"/>
          <w:rtl w:val="true"/>
        </w:rPr>
        <w:t>-</w:t>
      </w:r>
      <w:r>
        <w:rPr>
          <w:rFonts w:ascii="Arial" w:hAnsi="Arial" w:eastAsia="Times New Roman" w:cs="Arial"/>
          <w:rtl w:val="true"/>
        </w:rPr>
        <w:t>מקלע מאולתר</w:t>
      </w:r>
      <w:r>
        <w:rPr>
          <w:rFonts w:eastAsia="Times New Roman" w:cs="Arial" w:ascii="Arial" w:hAnsi="Arial"/>
          <w:rtl w:val="true"/>
        </w:rPr>
        <w:t xml:space="preserve">), </w:t>
      </w:r>
      <w:r>
        <w:rPr>
          <w:rFonts w:ascii="Arial" w:hAnsi="Arial" w:eastAsia="Times New Roman" w:cs="Arial"/>
          <w:rtl w:val="true"/>
        </w:rPr>
        <w:t xml:space="preserve">וגזר עליו </w:t>
      </w:r>
      <w:r>
        <w:rPr>
          <w:rFonts w:eastAsia="Times New Roman" w:cs="Arial" w:ascii="Arial" w:hAnsi="Arial"/>
        </w:rPr>
        <w:t>4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חודשים מאסר בפועל שיכול וירוצו בדרך של עבודות שירות</w:t>
      </w:r>
      <w:r>
        <w:rPr>
          <w:rFonts w:eastAsia="Times New Roman" w:cs="Arial" w:ascii="Arial" w:hAnsi="Arial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ascii="Arial" w:hAnsi="Arial" w:eastAsia="Times New Roman" w:cs="Arial"/>
          <w:rtl w:val="true"/>
        </w:rPr>
        <w:t>ב</w:t>
      </w:r>
      <w:hyperlink r:id="rId24"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eastAsia="Times New Roman"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Times New Roman" w:cs="Arial" w:ascii="Arial" w:hAnsi="Arial"/>
            <w:color w:val="0000FF"/>
            <w:u w:val="single"/>
          </w:rPr>
          <w:t>27417-11-15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שאכר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>קובע בית</w:t>
      </w:r>
      <w:r>
        <w:rPr>
          <w:rFonts w:eastAsia="Times New Roman" w:cs="Arial" w:ascii="Arial" w:hAnsi="Arial"/>
          <w:rtl w:val="true"/>
        </w:rPr>
        <w:t>-</w:t>
      </w:r>
      <w:r>
        <w:rPr>
          <w:rFonts w:ascii="Arial" w:hAnsi="Arial" w:eastAsia="Times New Roman" w:cs="Arial"/>
          <w:rtl w:val="true"/>
        </w:rPr>
        <w:t>המשפט בעניינו של נאשם שהורשע בהחזקת שני כלי נשק ותחמושת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 xml:space="preserve">מתחם עונש הנע בין </w:t>
      </w:r>
      <w:r>
        <w:rPr>
          <w:rFonts w:eastAsia="Times New Roman" w:cs="Arial" w:ascii="Arial" w:hAnsi="Arial"/>
        </w:rPr>
        <w:t>18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ל</w:t>
      </w:r>
      <w:r>
        <w:rPr>
          <w:rFonts w:eastAsia="Times New Roman" w:cs="Arial" w:ascii="Arial" w:hAnsi="Arial"/>
          <w:rtl w:val="true"/>
        </w:rPr>
        <w:t>-</w:t>
      </w:r>
      <w:r>
        <w:rPr>
          <w:rFonts w:eastAsia="Times New Roman" w:cs="Arial" w:ascii="Arial" w:hAnsi="Arial"/>
        </w:rPr>
        <w:t>36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חודשים מאסר בפועל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 xml:space="preserve">וגוזר על הנאשם </w:t>
      </w:r>
      <w:r>
        <w:rPr>
          <w:rFonts w:eastAsia="Times New Roman" w:cs="Arial" w:ascii="Arial" w:hAnsi="Arial"/>
        </w:rPr>
        <w:t>20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חודשים מאסר בפועל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 xml:space="preserve">חלף </w:t>
      </w:r>
      <w:r>
        <w:rPr>
          <w:rFonts w:eastAsia="Times New Roman" w:cs="Arial" w:ascii="Arial" w:hAnsi="Arial"/>
        </w:rPr>
        <w:t>10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חודשים שנגזרו עליו בבית</w:t>
      </w:r>
      <w:r>
        <w:rPr>
          <w:rFonts w:eastAsia="Times New Roman" w:cs="Arial" w:ascii="Arial" w:hAnsi="Arial"/>
          <w:rtl w:val="true"/>
        </w:rPr>
        <w:t>-</w:t>
      </w:r>
      <w:r>
        <w:rPr>
          <w:rFonts w:ascii="Arial" w:hAnsi="Arial" w:eastAsia="Times New Roman" w:cs="Arial"/>
          <w:rtl w:val="true"/>
        </w:rPr>
        <w:t>משפט שלום</w:t>
      </w:r>
      <w:r>
        <w:rPr>
          <w:rFonts w:eastAsia="Times New Roman" w:cs="Arial" w:ascii="Arial" w:hAnsi="Arial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ascii="Arial" w:hAnsi="Arial" w:eastAsia="Times New Roman" w:cs="Arial"/>
          <w:rtl w:val="true"/>
        </w:rPr>
        <w:t>ב</w:t>
      </w:r>
      <w:hyperlink r:id="rId25"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eastAsia="Times New Roman"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Times New Roman" w:cs="Arial" w:ascii="Arial" w:hAnsi="Arial"/>
            <w:color w:val="0000FF"/>
            <w:u w:val="single"/>
          </w:rPr>
          <w:t>62651-09-14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חדיגה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>מקבל בית</w:t>
      </w:r>
      <w:r>
        <w:rPr>
          <w:rFonts w:eastAsia="Times New Roman" w:cs="Arial" w:ascii="Arial" w:hAnsi="Arial"/>
          <w:rtl w:val="true"/>
        </w:rPr>
        <w:t>-</w:t>
      </w:r>
      <w:r>
        <w:rPr>
          <w:rFonts w:ascii="Arial" w:hAnsi="Arial" w:eastAsia="Times New Roman" w:cs="Arial"/>
          <w:rtl w:val="true"/>
        </w:rPr>
        <w:t>המשפט ערעורה של המדינה על קולת העונש בעניינו של מי שהורשע בהחזקת אקדח עם מחסניות וסמן לייזר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 xml:space="preserve">ומחמיר את עונשו לעשרה חודשים מאסר בפועל חלף </w:t>
      </w:r>
      <w:r>
        <w:rPr>
          <w:rFonts w:eastAsia="Times New Roman" w:cs="Arial" w:ascii="Arial" w:hAnsi="Arial"/>
        </w:rPr>
        <w:t>6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חודשים שהוטלו עליו בבית</w:t>
      </w:r>
      <w:r>
        <w:rPr>
          <w:rFonts w:eastAsia="Times New Roman" w:cs="Arial" w:ascii="Arial" w:hAnsi="Arial"/>
          <w:rtl w:val="true"/>
        </w:rPr>
        <w:t>-</w:t>
      </w:r>
      <w:r>
        <w:rPr>
          <w:rFonts w:ascii="Arial" w:hAnsi="Arial" w:eastAsia="Times New Roman" w:cs="Arial"/>
          <w:rtl w:val="true"/>
        </w:rPr>
        <w:t>משפט קמא</w:t>
      </w:r>
      <w:r>
        <w:rPr>
          <w:rFonts w:eastAsia="Times New Roman" w:cs="Arial" w:ascii="Arial" w:hAnsi="Arial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התופעה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החזקת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חוקי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הפכה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למכת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מדינה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ממש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דומה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יכול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להתעלם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מנאקת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ציבורים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שלמים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המלינים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ריבוי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הלא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חוקי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במקומותיהם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והסכנה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הרבה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יוצא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מכך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דומה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לאחרונה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בתי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נרתמו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ביתר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למלחמה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בתופעת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הבלתי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חוקי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החמרת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הענישה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דנן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נותרו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החזקת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לוטות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בערפל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נוכח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הנלמד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מהתסקיר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לחומרה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נתתי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משקל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להתרשמות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התקשה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לבחון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חלקים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מכשילים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בתפקודו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בגדר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השיקולים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לחומרה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לקחתי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בחשבון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התרשמות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מתקשה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להפעיל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שיקול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באימפולסיביות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במצבי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דחק</w:t>
      </w:r>
      <w:r>
        <w:rPr>
          <w:rFonts w:eastAsia="Times New Roman"/>
          <w:rtl w:val="true"/>
        </w:rPr>
        <w:t>.</w:t>
      </w:r>
      <w:r>
        <w:rPr>
          <w:rFonts w:eastAsia="Times New Roman"/>
          <w:rtl w:val="true"/>
        </w:rPr>
        <w:t xml:space="preserve">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לקחתי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בחשבון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התרשמות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מאי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בהירות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ביחס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להתנהלותו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בקשר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בסביבתו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החברתית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קשייו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לבחון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לעומק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הנסיבות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שהביאוהו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להחזיק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בנשק</w:t>
      </w:r>
      <w:r>
        <w:rPr>
          <w:rFonts w:eastAsia="Times New Roman"/>
          <w:rtl w:val="true"/>
        </w:rPr>
        <w:t>.</w:t>
      </w:r>
      <w:r>
        <w:rPr>
          <w:rFonts w:eastAsia="Times New Roman"/>
          <w:rtl w:val="true"/>
        </w:rPr>
        <w:t xml:space="preserve"> 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סבורני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שיקולי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הענישה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להכליל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שיקולי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הרתעת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היחיד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נוכח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מהתסקיר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נוכח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נפוצות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התופעה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החזקת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הבלתי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חוקי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דומה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צורך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בהכללת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שיקולי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הרתעת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הרבים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בגדר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שיקולי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הענישה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לקולת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לקחתי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בחשבון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בראש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ובראשונה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העובדה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שימוש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קונקרטי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עתידי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בנשק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לקחתי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בחשבון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לקולת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העובדה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הוחזק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בבית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באופן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המפורט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בכתב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האישום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לקולת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לקחתי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בחשבון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גילו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הצעיר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הפלילי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מעבר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לגילו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הצעיר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ולעובדה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נמנה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קבוצת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הבגירים</w:t>
      </w:r>
      <w:r>
        <w:rPr>
          <w:rFonts w:eastAsia="Times New Roman"/>
          <w:rtl w:val="true"/>
        </w:rPr>
        <w:t>-</w:t>
      </w:r>
      <w:r>
        <w:rPr>
          <w:rFonts w:eastAsia="Times New Roman"/>
          <w:rtl w:val="true"/>
        </w:rPr>
        <w:t>צעירים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העבר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הפלילי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נתתי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משקל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לקולא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בעניינו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לשיתוף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הפעולה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נתתי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משקל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לקולא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להתרשמות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הורתע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בשל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ההליכים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המשפטיים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כמו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המחירים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נשא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בגדר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השיקולים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לקולא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לקחתי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בחשבון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הודאתו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המגלמת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נטילת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אחריות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לקחתי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בחשבון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החרטה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שהביע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לקחתי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בחשבון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החיסכון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בזמן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שיפוטי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סבורני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המלצת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שירות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המבחן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עולה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בקנה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אחד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עקרון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ההלימה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שהתווה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המחוקק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ואף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תוכן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התסקיר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עצמו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  <w:t>סבורני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ממש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בעתירת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המאשימה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להשתת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קנס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משמעותי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ואולם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בהינתן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משך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המאסר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בפועל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שבדעתי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להשית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סבורני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יכול ו</w:t>
      </w:r>
      <w:r>
        <w:rPr>
          <w:rFonts w:eastAsia="Times New Roman"/>
          <w:rtl w:val="true"/>
        </w:rPr>
        <w:t>ניתן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להימנע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מהשתת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קנס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מקום שרכיב המאסר בפועל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מהווה רכיב מוחשי דיו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eastAsia="Times New Roman"/>
        </w:rPr>
      </w:pP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ובאמצי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למנעד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עתרו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הבאים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9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>,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בניכוי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31.1.16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5.4.16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שמונה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</w:t>
      </w:r>
      <w:r>
        <w:rPr>
          <w:rFonts w:ascii="Calibri" w:hAnsi="Calibri" w:eastAsia="Times New Roman" w:cs="Calibri"/>
          <w:rtl w:val="true"/>
        </w:rPr>
        <w:t xml:space="preserve">יום שחרורו ממאסרו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144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hyperlink r:id="rId27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העונשין</w:t>
        </w:r>
      </w:hyperlink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eastAsia="Times New Roman" w:cs="Calibri"/>
          <w:u w:val="single"/>
        </w:rPr>
      </w:pPr>
      <w:r>
        <w:rPr>
          <w:rFonts w:eastAsia="Times New Roman"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eastAsia="Times New Roman" w:cs="Calibri"/>
          <w:u w:val="single"/>
        </w:rPr>
      </w:pPr>
      <w:r>
        <w:rPr>
          <w:rFonts w:eastAsia="Times New Roman"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eastAsia="Times New Roman" w:cs="Calibri"/>
          <w:b/>
          <w:bCs/>
        </w:rPr>
      </w:pPr>
      <w:r>
        <w:rPr>
          <w:rFonts w:ascii="Calibri" w:hAnsi="Calibri" w:eastAsia="Times New Roman" w:cs="Calibri"/>
          <w:b/>
          <w:b/>
          <w:bCs/>
          <w:rtl w:val="true"/>
        </w:rPr>
        <w:t>זכות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ערעור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תוך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</w:rPr>
        <w:t>45</w:t>
      </w:r>
      <w:r>
        <w:rPr>
          <w:rFonts w:eastAsia="Times New Roman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יום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מהיום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לבית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המשפט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המחוזי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בבאר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שבע</w:t>
      </w:r>
      <w:r>
        <w:rPr>
          <w:rFonts w:eastAsia="Times New Roman"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 שבט תשע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/>
        <w:t>20/02/2017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יואב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עטר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הלכות ופסיקות בימ</w:t>
      </w:r>
      <w:r>
        <w:rPr>
          <w:rtl w:val="true"/>
        </w:rPr>
        <w:t>"</w:t>
      </w:r>
      <w:r>
        <w:rPr>
          <w:rtl w:val="true"/>
        </w:rPr>
        <w:t>ש העליון בכל הנוגע לעיכוב הביצוע</w:t>
      </w:r>
      <w:r>
        <w:rPr>
          <w:rtl w:val="true"/>
        </w:rPr>
        <w:t xml:space="preserve">, </w:t>
      </w:r>
      <w:r>
        <w:rPr>
          <w:rtl w:val="true"/>
        </w:rPr>
        <w:t xml:space="preserve">הרי שעונש המאסר שבסופו של יום נותר לנאשם לרצות הוא כ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 אחרי הניכויים</w:t>
      </w:r>
      <w:r>
        <w:rPr>
          <w:rtl w:val="true"/>
        </w:rPr>
        <w:t xml:space="preserve">, </w:t>
      </w:r>
      <w:r>
        <w:rPr>
          <w:rtl w:val="true"/>
        </w:rPr>
        <w:t>ברוטו</w:t>
      </w:r>
      <w:r>
        <w:rPr>
          <w:rtl w:val="true"/>
        </w:rPr>
        <w:t xml:space="preserve">,  </w:t>
      </w:r>
      <w:r>
        <w:rPr>
          <w:rtl w:val="true"/>
        </w:rPr>
        <w:t>נבקש לעכב את ביצוע עונש על מנת להגיש ערעור על 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 בקופת בימ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פיקדון ונולד לנאשם ילד שלישי</w:t>
      </w:r>
      <w:r>
        <w:rPr>
          <w:rtl w:val="true"/>
        </w:rPr>
        <w:t xml:space="preserve">,  </w:t>
      </w:r>
      <w:r>
        <w:rPr>
          <w:rtl w:val="true"/>
        </w:rPr>
        <w:t>ואין לו להפקיד סכום נוסף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מוסכם שההפקדות והערבויות יישארו בעינם להבטחת ההתייצבות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אנו נתנגד לעיכוב הביצוע</w:t>
      </w:r>
      <w:r>
        <w:rPr>
          <w:rtl w:val="true"/>
        </w:rPr>
        <w:t xml:space="preserve">. </w:t>
      </w:r>
      <w:r>
        <w:rPr>
          <w:rtl w:val="true"/>
        </w:rPr>
        <w:t>אנו חוששים מאי ההתייצבות של הנאשם</w:t>
      </w:r>
      <w:r>
        <w:rPr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 יקבל את ההחלטה</w:t>
      </w:r>
      <w:r>
        <w:rPr>
          <w:rtl w:val="true"/>
        </w:rPr>
        <w:t>,.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בהינתן משך תקופת המאסר בפועל</w:t>
      </w:r>
      <w:r>
        <w:rPr>
          <w:rtl w:val="true"/>
        </w:rPr>
        <w:t xml:space="preserve">, </w:t>
      </w:r>
      <w:r>
        <w:rPr>
          <w:rtl w:val="true"/>
        </w:rPr>
        <w:t>כמו גם ההלכות הנוהגות</w:t>
      </w:r>
      <w:r>
        <w:rPr>
          <w:rtl w:val="true"/>
        </w:rPr>
        <w:t xml:space="preserve">, </w:t>
      </w:r>
      <w:r>
        <w:rPr>
          <w:rtl w:val="true"/>
        </w:rPr>
        <w:t>סבורני כי ראוי</w:t>
      </w:r>
      <w:r>
        <w:rPr>
          <w:rtl w:val="true"/>
        </w:rPr>
        <w:t xml:space="preserve">, </w:t>
      </w:r>
      <w:r>
        <w:rPr>
          <w:rtl w:val="true"/>
        </w:rPr>
        <w:t>לעכב את ביצוע עונש המאסר בפועל</w:t>
      </w:r>
      <w:r>
        <w:rPr>
          <w:rtl w:val="true"/>
        </w:rPr>
        <w:t xml:space="preserve">, </w:t>
      </w:r>
      <w:r>
        <w:rPr>
          <w:rtl w:val="true"/>
        </w:rPr>
        <w:t>בכפוף לקביעת תנאים להבטחת התייצבות הנאשם לתחילת ריצוי מאסרו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נפסק לא אחת</w:t>
      </w:r>
      <w:r>
        <w:rPr>
          <w:rtl w:val="true"/>
        </w:rPr>
        <w:t xml:space="preserve">, </w:t>
      </w:r>
      <w:r>
        <w:rPr>
          <w:rtl w:val="true"/>
        </w:rPr>
        <w:t>כי ישנו הבדל של ממש בין השיקולים הנוגעים לקביעת הביטחונות שנקבעים להבטחת ההתייצבות</w:t>
      </w:r>
      <w:r>
        <w:rPr>
          <w:rtl w:val="true"/>
        </w:rPr>
        <w:t xml:space="preserve">, </w:t>
      </w:r>
      <w:r>
        <w:rPr>
          <w:rtl w:val="true"/>
        </w:rPr>
        <w:t>מקום שמדובר בהליך מעצר בעניינו של נאשם הנהנה מחזקת החפות</w:t>
      </w:r>
      <w:r>
        <w:rPr>
          <w:rtl w:val="true"/>
        </w:rPr>
        <w:t xml:space="preserve">, </w:t>
      </w:r>
      <w:r>
        <w:rPr>
          <w:rtl w:val="true"/>
        </w:rPr>
        <w:t>ואשר השיקולים לגביו שונים לחלוטין</w:t>
      </w:r>
      <w:r>
        <w:rPr>
          <w:rtl w:val="true"/>
        </w:rPr>
        <w:t xml:space="preserve">, </w:t>
      </w:r>
      <w:r>
        <w:rPr>
          <w:rtl w:val="true"/>
        </w:rPr>
        <w:t>לבין עניינו של עבריין מורשע</w:t>
      </w:r>
      <w:r>
        <w:rPr>
          <w:rtl w:val="true"/>
        </w:rPr>
        <w:t xml:space="preserve">, </w:t>
      </w:r>
      <w:r>
        <w:rPr>
          <w:rtl w:val="true"/>
        </w:rPr>
        <w:t>שנידון לעונש מאסר בפועל</w:t>
      </w:r>
      <w:r>
        <w:rPr>
          <w:rtl w:val="true"/>
        </w:rPr>
        <w:t xml:space="preserve">, </w:t>
      </w:r>
      <w:r>
        <w:rPr>
          <w:rtl w:val="true"/>
        </w:rPr>
        <w:t>ואשר יש להבטיח את ההתייצבות לריצוי המאסר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הגם שתקופת המאסר בפועל היא כזו המאפשרת ומצדיקה את עיכוב הביצוע</w:t>
      </w:r>
      <w:r>
        <w:rPr>
          <w:rtl w:val="true"/>
        </w:rPr>
        <w:t xml:space="preserve">, </w:t>
      </w:r>
      <w:r>
        <w:rPr>
          <w:rtl w:val="true"/>
        </w:rPr>
        <w:t>עדיין יש לאיין את הפיתוי שלא להתייצב לריצוי המאסר וזאת באמצעות בטוחות מתאימות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האמור לעיל ובכפוף לעמידה בתנאים שייקבעו להלן</w:t>
      </w:r>
      <w:r>
        <w:rPr>
          <w:rtl w:val="true"/>
        </w:rPr>
        <w:t xml:space="preserve">, </w:t>
      </w:r>
      <w:r>
        <w:rPr>
          <w:rtl w:val="true"/>
        </w:rPr>
        <w:t xml:space="preserve">אני מורה על עיכוב ביצוע תחילת עונש המאסר באופן בו הנאשם יתייצב לתחילת ריצוי מאסרו  </w:t>
      </w:r>
      <w:r>
        <w:rPr>
          <w:b/>
          <w:b/>
          <w:bCs/>
          <w:u w:val="single"/>
          <w:rtl w:val="true"/>
        </w:rPr>
        <w:t xml:space="preserve">ביום </w:t>
      </w:r>
      <w:r>
        <w:rPr>
          <w:b/>
          <w:bCs/>
          <w:u w:val="single"/>
        </w:rPr>
        <w:t>3.4.2017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עד השעה </w:t>
      </w:r>
      <w:r>
        <w:rPr>
          <w:b/>
          <w:bCs/>
          <w:u w:val="single"/>
        </w:rPr>
        <w:t>08:00</w:t>
      </w:r>
      <w:r>
        <w:rPr>
          <w:b/>
          <w:bCs/>
          <w:u w:val="single"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 xml:space="preserve">בכלא  </w:t>
      </w:r>
      <w:r>
        <w:rPr>
          <w:rtl w:val="true"/>
        </w:rPr>
        <w:t>"</w:t>
      </w:r>
      <w:r>
        <w:rPr>
          <w:rtl w:val="true"/>
        </w:rPr>
        <w:t>דקל</w:t>
      </w:r>
      <w:r>
        <w:rPr>
          <w:rtl w:val="true"/>
        </w:rPr>
        <w:t xml:space="preserve">" </w:t>
      </w:r>
      <w:r>
        <w:rPr>
          <w:rtl w:val="true"/>
        </w:rPr>
        <w:t>שבמתחם כלא  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תשומת לב בא כוח הנאשם לנוהל מיון מוקדם של 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ככל שבא כוח הנאשם</w:t>
      </w:r>
      <w:r>
        <w:rPr>
          <w:rtl w:val="true"/>
        </w:rPr>
        <w:t xml:space="preserve">, </w:t>
      </w:r>
      <w:r>
        <w:rPr>
          <w:rtl w:val="true"/>
        </w:rPr>
        <w:t>אכן יפנה לשב</w:t>
      </w:r>
      <w:r>
        <w:rPr>
          <w:rtl w:val="true"/>
        </w:rPr>
        <w:t>"</w:t>
      </w:r>
      <w:r>
        <w:rPr>
          <w:rtl w:val="true"/>
        </w:rPr>
        <w:t>ס באמצעות נוהל מיון מוקדם</w:t>
      </w:r>
      <w:r>
        <w:rPr>
          <w:rtl w:val="true"/>
        </w:rPr>
        <w:t xml:space="preserve">, </w:t>
      </w:r>
      <w:r>
        <w:rPr>
          <w:rtl w:val="true"/>
        </w:rPr>
        <w:t>הנאשם יתייצב במועד הנ</w:t>
      </w:r>
      <w:r>
        <w:rPr>
          <w:rtl w:val="true"/>
        </w:rPr>
        <w:t>"</w:t>
      </w:r>
      <w:r>
        <w:rPr>
          <w:rtl w:val="true"/>
        </w:rPr>
        <w:t>ל לתחילת ריצוי עונש המאסר במקום שיתואם עם 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תנאי לעיכוב הביצוע הוא</w:t>
      </w:r>
      <w:r>
        <w:rPr>
          <w:rtl w:val="true"/>
        </w:rPr>
        <w:t xml:space="preserve">, </w:t>
      </w:r>
      <w:r>
        <w:rPr>
          <w:rtl w:val="true"/>
        </w:rPr>
        <w:t>עמידה בתנאים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כל הערבויות והפקדונות שנחתמו והופקדו במסגרת תיק המעצר הקשור בתיק זה</w:t>
      </w:r>
      <w:r>
        <w:rPr>
          <w:rtl w:val="true"/>
        </w:rPr>
        <w:t xml:space="preserve">, </w:t>
      </w:r>
      <w:r>
        <w:rPr>
          <w:rtl w:val="true"/>
        </w:rPr>
        <w:t>יישארו בעינן להבטחת ההתייצבות</w:t>
      </w:r>
      <w:r>
        <w:rPr>
          <w:rtl w:val="true"/>
        </w:rPr>
        <w:t xml:space="preserve">, </w:t>
      </w:r>
      <w:r>
        <w:rPr>
          <w:rtl w:val="true"/>
        </w:rPr>
        <w:t>עד לתחילת ריצוי המאסר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צו עיכוב יציאה מן הארץ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תחתם ערבות צד ג</w:t>
      </w:r>
      <w:r>
        <w:rPr>
          <w:rtl w:val="true"/>
        </w:rPr>
        <w:t xml:space="preserve">' </w:t>
      </w:r>
      <w:r>
        <w:rPr>
          <w:rtl w:val="true"/>
        </w:rPr>
        <w:t xml:space="preserve">נוספת בסך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להבטחת ההתייצבות לריצוי המאסר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תנאי מתנאי עיכוב הביצוע הוא כי על גבי כתב הערובה</w:t>
      </w:r>
      <w:r>
        <w:rPr>
          <w:rtl w:val="true"/>
        </w:rPr>
        <w:t xml:space="preserve">, </w:t>
      </w:r>
      <w:r>
        <w:rPr>
          <w:rtl w:val="true"/>
        </w:rPr>
        <w:t>יציין הערב כי ידוע לו מועד תחילת ריצוי המאסר</w:t>
      </w:r>
      <w:r>
        <w:rPr>
          <w:rtl w:val="true"/>
        </w:rPr>
        <w:t xml:space="preserve">, </w:t>
      </w:r>
      <w:r>
        <w:rPr>
          <w:rtl w:val="true"/>
        </w:rPr>
        <w:t>וכי ידוע לו שככל שהנאשם לא יתייצב לאותו מועד</w:t>
      </w:r>
      <w:r>
        <w:rPr>
          <w:rtl w:val="true"/>
        </w:rPr>
        <w:t xml:space="preserve">, </w:t>
      </w:r>
      <w:r>
        <w:rPr>
          <w:rtl w:val="true"/>
        </w:rPr>
        <w:t>יכול ותחולט ערבותו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אין מניעה שאחד מבין הערבים הקיימים יחתום על גבי כתב הערובה</w:t>
      </w:r>
      <w:r>
        <w:rPr>
          <w:rtl w:val="true"/>
        </w:rPr>
        <w:t xml:space="preserve">,  </w:t>
      </w:r>
      <w:r>
        <w:rPr>
          <w:rtl w:val="true"/>
        </w:rPr>
        <w:t>אך זאת בכפוף להוספת הערה</w:t>
      </w:r>
      <w:r>
        <w:rPr>
          <w:rtl w:val="true"/>
        </w:rPr>
        <w:t xml:space="preserve">, 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לא יעמוד הנאשם בתנאים שנקבעו לעיל</w:t>
      </w:r>
      <w:r>
        <w:rPr>
          <w:rtl w:val="true"/>
        </w:rPr>
        <w:t xml:space="preserve">, </w:t>
      </w:r>
      <w:r>
        <w:rPr>
          <w:rtl w:val="true"/>
        </w:rPr>
        <w:t>יחל בריצוי מאסרו כעת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הנאשם יתלווה עתה למאבטחי משמר בתי 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משמר בתי המשפט מתבקש לאפשר לנאשם לבצע מספר שיחות טלפון על מנת לגייס את הבטוחות המתאימות ולאחר מכן</w:t>
      </w:r>
      <w:r>
        <w:rPr>
          <w:rtl w:val="true"/>
        </w:rPr>
        <w:t xml:space="preserve">, </w:t>
      </w:r>
      <w:r>
        <w:rPr>
          <w:rtl w:val="true"/>
        </w:rPr>
        <w:t>הנאשם יועבר ליחידת נחשון אשר מבלי  לגרוע מסמכות שב</w:t>
      </w:r>
      <w:r>
        <w:rPr>
          <w:rtl w:val="true"/>
        </w:rPr>
        <w:t>"</w:t>
      </w:r>
      <w:r>
        <w:rPr>
          <w:rtl w:val="true"/>
        </w:rPr>
        <w:t>ס ביחס להורייה על מקום החזקת אסיר</w:t>
      </w:r>
      <w:r>
        <w:rPr>
          <w:rtl w:val="true"/>
        </w:rPr>
        <w:t xml:space="preserve">,  </w:t>
      </w:r>
      <w:r>
        <w:rPr>
          <w:rtl w:val="true"/>
        </w:rPr>
        <w:t>מתבקש במידת האפשר להותיר את הנאשם במתקן יחידת נחשון שבהיכל בית המשפט עד השעה המאוחרת ביותר שאפשר על מנת לאפשר לבני משפחת הנאשם לעמוד בתנאים שנקבעו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20/02/2017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יואב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עטר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נורית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רנו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יואב עטר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10948-02-16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זאהר אבו עמאש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David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David"/>
    </w:rPr>
  </w:style>
  <w:style w:type="character" w:styleId="WW8Num1z1">
    <w:name w:val="WW8Num1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/>
  </w:style>
  <w:style w:type="character" w:styleId="WW8Num9z0">
    <w:name w:val="WW8Num9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eastAsia="Times New Roman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eastAsia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1474168" TargetMode="External"/><Relationship Id="rId8" Type="http://schemas.openxmlformats.org/officeDocument/2006/relationships/hyperlink" Target="http://www.nevo.co.il/case/21475135" TargetMode="External"/><Relationship Id="rId9" Type="http://schemas.openxmlformats.org/officeDocument/2006/relationships/hyperlink" Target="http://www.nevo.co.il/case/20881655" TargetMode="External"/><Relationship Id="rId10" Type="http://schemas.openxmlformats.org/officeDocument/2006/relationships/hyperlink" Target="http://www.nevo.co.il/case/5762686" TargetMode="External"/><Relationship Id="rId11" Type="http://schemas.openxmlformats.org/officeDocument/2006/relationships/hyperlink" Target="http://www.nevo.co.il/case/17929065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yperlink" Target="http://www.nevo.co.il/case/5821328" TargetMode="External"/><Relationship Id="rId14" Type="http://schemas.openxmlformats.org/officeDocument/2006/relationships/hyperlink" Target="http://www.nevo.co.il/case/5950172" TargetMode="External"/><Relationship Id="rId15" Type="http://schemas.openxmlformats.org/officeDocument/2006/relationships/hyperlink" Target="http://www.nevo.co.il/case/21587993" TargetMode="External"/><Relationship Id="rId16" Type="http://schemas.openxmlformats.org/officeDocument/2006/relationships/hyperlink" Target="http://www.nevo.co.il/case/20838274" TargetMode="External"/><Relationship Id="rId17" Type="http://schemas.openxmlformats.org/officeDocument/2006/relationships/hyperlink" Target="http://www.nevo.co.il/case/5597217" TargetMode="External"/><Relationship Id="rId18" Type="http://schemas.openxmlformats.org/officeDocument/2006/relationships/hyperlink" Target="http://www.nevo.co.il/case/6024035" TargetMode="External"/><Relationship Id="rId19" Type="http://schemas.openxmlformats.org/officeDocument/2006/relationships/hyperlink" Target="http://www.nevo.co.il/case/6058757" TargetMode="External"/><Relationship Id="rId20" Type="http://schemas.openxmlformats.org/officeDocument/2006/relationships/hyperlink" Target="http://www.nevo.co.il/case/6072945" TargetMode="External"/><Relationship Id="rId21" Type="http://schemas.openxmlformats.org/officeDocument/2006/relationships/hyperlink" Target="http://www.nevo.co.il/case/4258499" TargetMode="External"/><Relationship Id="rId22" Type="http://schemas.openxmlformats.org/officeDocument/2006/relationships/hyperlink" Target="http://www.nevo.co.il/case/21752518" TargetMode="External"/><Relationship Id="rId23" Type="http://schemas.openxmlformats.org/officeDocument/2006/relationships/hyperlink" Target="http://www.nevo.co.il/case/20687126" TargetMode="External"/><Relationship Id="rId24" Type="http://schemas.openxmlformats.org/officeDocument/2006/relationships/hyperlink" Target="http://www.nevo.co.il/case/20723375" TargetMode="External"/><Relationship Id="rId25" Type="http://schemas.openxmlformats.org/officeDocument/2006/relationships/hyperlink" Target="http://www.nevo.co.il/case/18064004" TargetMode="External"/><Relationship Id="rId26" Type="http://schemas.openxmlformats.org/officeDocument/2006/relationships/hyperlink" Target="http://www.nevo.co.il/law/70301/14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2018-04-15T10:45:00Z</dcterms:created>
  <dc:creator> </dc:creator>
  <dc:description/>
  <cp:keywords/>
  <dc:language>en-IL</dc:language>
  <cp:lastModifiedBy>run</cp:lastModifiedBy>
  <dcterms:modified xsi:type="dcterms:W3CDTF">2018-04-15T10:45:00Z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זאהר אבו עמאש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21474168;21475135;20881655;5762686;17929065;5852404;5821328;5950172;21587993;20838274;5597217;6024035;6058757;6072945;4258499;21752518;20687126;20723375;18064004</vt:lpwstr>
  </property>
  <property fmtid="{D5CDD505-2E9C-101B-9397-08002B2CF9AE}" pid="9" name="CITY">
    <vt:lpwstr>ב"ש</vt:lpwstr>
  </property>
  <property fmtid="{D5CDD505-2E9C-101B-9397-08002B2CF9AE}" pid="10" name="DATE">
    <vt:lpwstr>20170220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יואב עטר</vt:lpwstr>
  </property>
  <property fmtid="{D5CDD505-2E9C-101B-9397-08002B2CF9AE}" pid="14" name="LAWLISTTMP1">
    <vt:lpwstr>70301/144.a;144</vt:lpwstr>
  </property>
  <property fmtid="{D5CDD505-2E9C-101B-9397-08002B2CF9AE}" pid="15" name="LAWYER">
    <vt:lpwstr>מזור טפירו;שמש אבנר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10948</vt:lpwstr>
  </property>
  <property fmtid="{D5CDD505-2E9C-101B-9397-08002B2CF9AE}" pid="22" name="NEWPARTB">
    <vt:lpwstr>02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380020170220</vt:lpwstr>
  </property>
  <property fmtid="{D5CDD505-2E9C-101B-9397-08002B2CF9AE}" pid="34" name="TYPE_N_DATE">
    <vt:lpwstr>38020170220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