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10981-12-10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אסרף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11006-12-10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ליאון אסרף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ארנון חגיגי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שי שלמה 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ליאון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אסרף</w:t>
      </w:r>
      <w:r>
        <w:rPr>
          <w:b w:val="false"/>
          <w:b w:val="false"/>
          <w:bCs w:val="false"/>
          <w:u w:val="none"/>
          <w:rtl w:val="true"/>
        </w:rPr>
        <w:t xml:space="preserve">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 xml:space="preserve">כנגד הנאשם הוגש כתב אישום שמייחס לו עבירות של הפרת הוראה חוקית לפי סעיף </w:t>
      </w:r>
      <w:r>
        <w:rPr/>
        <w:t>287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וכן עבירת איומים לפי סעיף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6" w:name="ABSTRACT_END"/>
      <w:bookmarkEnd w:id="6"/>
      <w:r>
        <w:rPr>
          <w:rtl w:val="true"/>
        </w:rPr>
        <w:t>הנאשם ניהל מערכת יחסים רומנטית עם המתלוננת ונולדו להם שני ילדים משותפים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08.09.10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hyperlink r:id="rId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י </w:t>
        </w:r>
        <w:r>
          <w:rPr>
            <w:rStyle w:val="Hyperlink"/>
            <w:color w:val="0000FF"/>
            <w:u w:val="single"/>
          </w:rPr>
          <w:t>13211-09-10</w:t>
        </w:r>
      </w:hyperlink>
      <w:r>
        <w:rPr>
          <w:rtl w:val="true"/>
        </w:rPr>
        <w:t xml:space="preserve"> </w:t>
      </w:r>
      <w:r>
        <w:rPr>
          <w:rtl w:val="true"/>
        </w:rPr>
        <w:t>הורה בית משפט השלום בירושלים כי ייאסר על הנאשם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ליצור קשר בין במישרין בין בעקיפין עם המתלוננת וזאת לתקופה בת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מיום מתן ההחלטה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02.12.10</w:t>
      </w:r>
      <w:r>
        <w:rPr>
          <w:rtl w:val="true"/>
        </w:rPr>
        <w:t xml:space="preserve"> </w:t>
      </w:r>
      <w:r>
        <w:rPr>
          <w:rtl w:val="true"/>
        </w:rPr>
        <w:t>הנאשם יצר קשר עם המתלוננת בכך שהתקשר למכשיר הטלפון הנייד שלה ואיים 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שכולל גם הסכמה לרכיבי הענישה</w:t>
      </w:r>
      <w:r>
        <w:rPr>
          <w:rtl w:val="true"/>
        </w:rPr>
        <w:t xml:space="preserve">. </w:t>
      </w:r>
      <w:r>
        <w:rPr>
          <w:rtl w:val="true"/>
        </w:rPr>
        <w:t>הנאשם הודה בכתב האישום והורשע</w:t>
      </w:r>
      <w:r>
        <w:rPr>
          <w:rtl w:val="true"/>
        </w:rPr>
        <w:t xml:space="preserve">. </w:t>
      </w:r>
      <w:r>
        <w:rPr>
          <w:rtl w:val="true"/>
        </w:rPr>
        <w:t>הוגש תסקיר של שירות מבחן אשר ממליץ על הטלת צו שירות תועלת הציבור וכן עונש מותנה</w:t>
      </w:r>
      <w:r>
        <w:rPr>
          <w:rtl w:val="true"/>
        </w:rPr>
        <w:t xml:space="preserve">. </w:t>
      </w:r>
      <w:r>
        <w:rPr>
          <w:rtl w:val="true"/>
        </w:rPr>
        <w:t>לנאשם ר</w:t>
      </w:r>
      <w:r>
        <w:rPr>
          <w:rtl w:val="true"/>
        </w:rPr>
        <w:t>"</w:t>
      </w:r>
      <w:r>
        <w:rPr>
          <w:rtl w:val="true"/>
        </w:rPr>
        <w:t xml:space="preserve">פ אחד שניתן על ידי כבוד בית משפט השלום בירושלים בתיק </w:t>
      </w:r>
      <w:r>
        <w:rPr/>
        <w:t>6004-04</w:t>
      </w:r>
      <w:r>
        <w:rPr>
          <w:rtl w:val="true"/>
        </w:rPr>
        <w:t xml:space="preserve"> </w:t>
      </w:r>
      <w:r>
        <w:rPr>
          <w:rtl w:val="true"/>
        </w:rPr>
        <w:t>ואשר הסתיים ללא הרשעה בגין עבירה של החזקת סמים לצריכה עצמית</w:t>
      </w:r>
      <w:r>
        <w:rPr>
          <w:rtl w:val="true"/>
        </w:rPr>
        <w:t xml:space="preserve">. </w:t>
      </w:r>
      <w:r>
        <w:rPr>
          <w:rtl w:val="true"/>
        </w:rPr>
        <w:t>למרות הרישום האמור ומתוך קריאת התסקיר הרושם המצטייר שמדובר באדם עם נורמות התנהגות נורמטיביות</w:t>
      </w:r>
      <w:r>
        <w:rPr>
          <w:rtl w:val="true"/>
        </w:rPr>
        <w:t xml:space="preserve">. </w:t>
      </w:r>
      <w:r>
        <w:rPr>
          <w:rtl w:val="true"/>
        </w:rPr>
        <w:t>הנאשם חסך זמן שיפוטי יקר וחסך מהמתלוננת להתייצב לצורך מתן עדות</w:t>
      </w:r>
      <w:r>
        <w:rPr>
          <w:rtl w:val="true"/>
        </w:rPr>
        <w:t xml:space="preserve">. </w:t>
      </w:r>
      <w:r>
        <w:rPr>
          <w:rtl w:val="true"/>
        </w:rPr>
        <w:t>ההסדר כפי שהוצג על ידי הצדדים הוא סביר ומאוזן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שאותם לא ירצה אלא אם כן תוך שנתיים מהיום יבצע עבירות אלימות או עבירה לפי סעיף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הנאשם ישלם קנס בסך של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אשר התשלום הראשון ישולם ביום </w:t>
      </w:r>
      <w:r>
        <w:rPr/>
        <w:t>10.05.11</w:t>
      </w:r>
      <w:r>
        <w:rPr>
          <w:rtl w:val="true"/>
        </w:rPr>
        <w:t xml:space="preserve"> </w:t>
      </w:r>
      <w:r>
        <w:rPr>
          <w:rtl w:val="true"/>
        </w:rPr>
        <w:t>והתשלומים הנותרים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 חודש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הנאשם יבצע שירות לתועלת הציבור בהיקף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שירות המבחן יבנה את התכנית</w:t>
      </w:r>
      <w:r>
        <w:rPr>
          <w:rtl w:val="true"/>
        </w:rPr>
        <w:t xml:space="preserve">. </w:t>
      </w:r>
      <w:r>
        <w:rPr>
          <w:rtl w:val="true"/>
        </w:rPr>
        <w:t>על פי בקשת שירות המבחן</w:t>
      </w:r>
      <w:r>
        <w:rPr>
          <w:rtl w:val="true"/>
        </w:rPr>
        <w:t xml:space="preserve">, </w:t>
      </w:r>
      <w:r>
        <w:rPr>
          <w:rtl w:val="true"/>
        </w:rPr>
        <w:t>מועד הביצוע של השירות לתועלת הציבור יחול החל מ</w:t>
      </w:r>
      <w:r>
        <w:rPr>
          <w:rtl w:val="true"/>
        </w:rPr>
        <w:t>-</w:t>
      </w:r>
      <w:r>
        <w:rPr/>
        <w:t>01.06.11</w:t>
      </w:r>
      <w:r>
        <w:rPr>
          <w:rtl w:val="true"/>
        </w:rPr>
        <w:t xml:space="preserve"> </w:t>
      </w:r>
      <w:r>
        <w:rPr>
          <w:rtl w:val="true"/>
        </w:rPr>
        <w:t>ובתיאום עם שירות 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ניתן בזאת צו מבחן למשך שנה מהיום</w:t>
      </w:r>
      <w:r>
        <w:rPr>
          <w:rtl w:val="true"/>
        </w:rPr>
        <w:t xml:space="preserve">. </w:t>
      </w:r>
      <w:r>
        <w:rPr>
          <w:rtl w:val="true"/>
        </w:rPr>
        <w:t>הנאשם יהיה בקשר עם שירות המבחן ומובהרת לו סמכותו של בית משפט לחזור לדונו בשנית באם יפר את צו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ההפקדה בסך של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שהופקדה בתיק מס</w:t>
      </w:r>
      <w:r>
        <w:rPr>
          <w:rtl w:val="true"/>
        </w:rPr>
        <w:t xml:space="preserve">' </w:t>
      </w:r>
      <w:r>
        <w:rPr/>
        <w:t>11006-12-10</w:t>
      </w:r>
      <w:r>
        <w:rPr>
          <w:rtl w:val="true"/>
        </w:rPr>
        <w:t xml:space="preserve"> </w:t>
      </w:r>
      <w:r>
        <w:rPr>
          <w:rtl w:val="true"/>
        </w:rPr>
        <w:t>תוחזר על ידי המזכירות לב</w:t>
      </w:r>
      <w:r>
        <w:rPr>
          <w:rtl w:val="true"/>
        </w:rPr>
        <w:t>"</w:t>
      </w:r>
      <w:r>
        <w:rPr>
          <w:rtl w:val="true"/>
        </w:rPr>
        <w:t>כ הנאשם ולפקודתו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>האיזוק האלקטרוני מבוטל בזאת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10981-12-10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ליאון אסרף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497;&amp;NEWPARTA=10&amp;NEWPARTB=09&amp;NEWPARTC=13211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2011-04-17T10:22:00Z</dcterms:created>
  <dc:creator> </dc:creator>
  <dc:description/>
  <cp:keywords/>
  <dc:language>en-IL</dc:language>
  <cp:lastModifiedBy>hofit</cp:lastModifiedBy>
  <dcterms:modified xsi:type="dcterms:W3CDTF">2011-04-17T10:22:00Z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ליאון אסרף</vt:lpwstr>
  </property>
  <property fmtid="{D5CDD505-2E9C-101B-9397-08002B2CF9AE}" pid="4" name="CITY">
    <vt:lpwstr>רמ'</vt:lpwstr>
  </property>
  <property fmtid="{D5CDD505-2E9C-101B-9397-08002B2CF9AE}" pid="5" name="DATE">
    <vt:lpwstr>20110414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10981</vt:lpwstr>
  </property>
  <property fmtid="{D5CDD505-2E9C-101B-9397-08002B2CF9AE}" pid="9" name="NEWPARTB">
    <vt:lpwstr>12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12 10981 918 htm</vt:lpwstr>
  </property>
  <property fmtid="{D5CDD505-2E9C-101B-9397-08002B2CF9AE}" pid="14" name="TYPE">
    <vt:lpwstr>3</vt:lpwstr>
  </property>
  <property fmtid="{D5CDD505-2E9C-101B-9397-08002B2CF9AE}" pid="15" name="TYPE_ABS_DATE">
    <vt:lpwstr>380020110414</vt:lpwstr>
  </property>
  <property fmtid="{D5CDD505-2E9C-101B-9397-08002B2CF9AE}" pid="16" name="TYPE_N_DATE">
    <vt:lpwstr>38020110414</vt:lpwstr>
  </property>
  <property fmtid="{D5CDD505-2E9C-101B-9397-08002B2CF9AE}" pid="17" name="WORDNUMPAGES">
    <vt:lpwstr>2</vt:lpwstr>
  </property>
</Properties>
</file>