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1106-03-18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צרצור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סאמה צרצור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עבדאללה עודה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זליג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פריג</w:t>
      </w:r>
      <w:r>
        <w:rPr>
          <w:rtl w:val="true"/>
        </w:rPr>
        <w:t>'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Times New Roman"/>
          <w:rtl w:val="true"/>
        </w:rPr>
        <w:t xml:space="preserve">  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זילברברג</w:t>
      </w:r>
      <w:r>
        <w:rPr>
          <w:rtl w:val="true"/>
        </w:rPr>
        <w:t>,</w:t>
      </w:r>
    </w:p>
    <w:p>
      <w:pPr>
        <w:pStyle w:val="Normal"/>
        <w:spacing w:lineRule="exact" w:line="240" w:before="0" w:after="120"/>
        <w:ind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חקיקה שאוזכרה</w:t>
      </w:r>
      <w:r>
        <w:rPr>
          <w:rFonts w:cs="FrankRuehl" w:ascii="FrankRuehl" w:hAnsi="FrankRuehl"/>
          <w:color w:val="00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start="-15" w:end="0"/>
        <w:jc w:val="both"/>
        <w:rPr>
          <w:rFonts w:ascii="FrankRuehl" w:hAnsi="FrankRuehl" w:cs="FrankRuehl"/>
          <w:color w:val="000000"/>
        </w:rPr>
      </w:pPr>
      <w:hyperlink r:id="rId2">
        <w:r>
          <w:rPr>
            <w:rStyle w:val="Hyperlink"/>
            <w:rFonts w:ascii="FrankRuehl" w:hAnsi="FrankRuehl" w:cs="FrankRuehl"/>
            <w:color w:val="000000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00"/>
          </w:rPr>
          <w:t>1977</w:t>
        </w:r>
      </w:hyperlink>
      <w:r>
        <w:rPr>
          <w:rFonts w:cs="FrankRuehl" w:ascii="FrankRuehl" w:hAnsi="FrankRuehl"/>
          <w:color w:val="000000"/>
          <w:rtl w:val="true"/>
        </w:rPr>
        <w:t xml:space="preserve">: </w:t>
      </w:r>
      <w:r>
        <w:rPr>
          <w:rFonts w:ascii="FrankRuehl" w:hAnsi="FrankRuehl" w:cs="FrankRuehl"/>
          <w:color w:val="000000"/>
          <w:rtl w:val="true"/>
        </w:rPr>
        <w:t>סע</w:t>
      </w:r>
      <w:r>
        <w:rPr>
          <w:rFonts w:cs="FrankRuehl" w:ascii="FrankRuehl" w:hAnsi="FrankRuehl"/>
          <w:color w:val="000000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00"/>
          </w:rPr>
          <w:t>29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00"/>
          </w:rPr>
          <w:t>40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'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00"/>
          </w:rPr>
          <w:t>144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'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00"/>
          </w:rPr>
          <w:t>275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00"/>
          </w:rPr>
          <w:t>40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'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00"/>
          </w:rPr>
          <w:t>40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'</w:t>
        </w:r>
      </w:hyperlink>
    </w:p>
    <w:p>
      <w:pPr>
        <w:pStyle w:val="Normal"/>
        <w:spacing w:lineRule="auto" w:line="360" w:before="0" w:after="120"/>
        <w:ind w:end="0"/>
        <w:jc w:val="start"/>
        <w:rPr/>
      </w:pPr>
      <w:hyperlink r:id="rId9">
        <w:r>
          <w:rPr>
            <w:rStyle w:val="Hyperlink"/>
            <w:rFonts w:ascii="FrankRuehl" w:hAnsi="FrankRuehl" w:cs="FrankRuehl"/>
            <w:color w:val="000000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00"/>
          </w:rPr>
          <w:t>1952</w:t>
        </w:r>
      </w:hyperlink>
      <w:r>
        <w:rPr>
          <w:rFonts w:cs="FrankRuehl" w:ascii="FrankRuehl" w:hAnsi="FrankRuehl"/>
          <w:color w:val="000000"/>
          <w:rtl w:val="true"/>
        </w:rPr>
        <w:t xml:space="preserve">: </w:t>
      </w:r>
      <w:r>
        <w:rPr>
          <w:rFonts w:ascii="FrankRuehl" w:hAnsi="FrankRuehl" w:cs="FrankRuehl"/>
          <w:color w:val="000000"/>
          <w:rtl w:val="true"/>
        </w:rPr>
        <w:t>סע</w:t>
      </w:r>
      <w:r>
        <w:rPr>
          <w:rFonts w:cs="FrankRuehl" w:ascii="FrankRuehl" w:hAnsi="FrankRuehl"/>
          <w:color w:val="000000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00"/>
          </w:rPr>
          <w:t>12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00"/>
          </w:rPr>
          <w:t>1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)</w:t>
        </w:r>
      </w:hyperlink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  <w:bookmarkEnd w:id="3"/>
          </w:p>
        </w:tc>
      </w:tr>
    </w:tbl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רקע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bookmarkStart w:id="4" w:name="ABSTRACT_START"/>
      <w:bookmarkEnd w:id="4"/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ואבזר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1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וסיפא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הפרעה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לשוטר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מילוי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תפקידו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275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13" w:start="707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כניסה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כדין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תשי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1952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bookmarkStart w:id="5" w:name="ABSTRACT_END"/>
      <w:bookmarkEnd w:id="5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הינו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תושב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אזור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יהודה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ושומרון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הרלוונטית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לכתב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האישום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ברישיון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לשהות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לעבוד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18.2.18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קאסם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רובה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סער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קלצ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ניקוב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ובתוכו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מחסנית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ריקה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שחלפה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בתגובה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פתח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בחדות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שמאלה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והאיץ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נסיעתו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במטרה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להימלט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מהשוטרים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נהיגתו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עוררה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מהבהבים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כריזה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שעו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להוראתם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והמשיכו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במנוסתם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נהג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בנהיגה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סיכון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משתמשי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הדרך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גרם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לכלי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לסטות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ולילד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אופניים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לבהלה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המרדף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החליטו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יאט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לקפוץ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אוחז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בהגיעם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למגרש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הכדורגל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האט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הרכב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קפץ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מצדו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הימני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נסיעה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כשהוא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בידו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עטוף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ומגולגל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בחולצה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במהלך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הקפיצה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התגלגל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ארצה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השליך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לצד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והחל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להימלט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מהמקום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רגלית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אז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אחריו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שוטר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השתלט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ועצר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אותו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במקביל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המשיך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מטרים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נוספים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בפתאומיות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קפץ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והחל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לברוח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רגלית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מהמקום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השוטרים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דלקו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אחריו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שנתפס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ונעצר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25,000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יוחזר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יטענו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חופשי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ראיות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לעונש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עאדל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עיריית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קאסם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ותורמות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לקהילה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קיבלו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החדשות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בהפתעה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קאסם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 </w:t>
      </w:r>
      <w:r>
        <w:rPr>
          <w:rFonts w:ascii="David" w:hAnsi="David"/>
          <w:color w:val="000000"/>
          <w:rtl w:val="true"/>
        </w:rPr>
        <w:t>אחראי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קאסם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מילדות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בבעיות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סרסור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פנסיונר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מחנך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מילדותו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"</w:t>
      </w:r>
      <w:r>
        <w:rPr>
          <w:rFonts w:ascii="David" w:hAnsi="David"/>
          <w:color w:val="000000"/>
          <w:rtl w:val="true"/>
        </w:rPr>
        <w:t>לקח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מקובלים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סרסור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רוביל</w:t>
      </w:r>
      <w:r>
        <w:rPr>
          <w:rFonts w:cs="David" w:ascii="David" w:hAnsi="David"/>
          <w:color w:val="000000"/>
          <w:rtl w:val="true"/>
        </w:rPr>
        <w:t xml:space="preserve">, - </w:t>
      </w:r>
      <w:r>
        <w:rPr>
          <w:rFonts w:ascii="David" w:hAnsi="David"/>
          <w:color w:val="000000"/>
          <w:rtl w:val="true"/>
        </w:rPr>
        <w:t>אחיו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ונבחרת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בכדורגל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הופתעו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והתביישו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בכבוד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טיעוני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center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זליג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שילמו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הקנסות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שהוסכם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שפורטו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למיניהן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שעלולות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רשאי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לאד</w:t>
      </w:r>
      <w:bookmarkStart w:id="6" w:name="LawTable"/>
      <w:bookmarkEnd w:id="6"/>
    </w:p>
    <w:p>
      <w:pPr>
        <w:pStyle w:val="Normal"/>
        <w:numPr>
          <w:ilvl w:val="0"/>
          <w:numId w:val="5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numPr>
          <w:ilvl w:val="0"/>
          <w:numId w:val="5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חקיקה שאוזכרה</w:t>
      </w:r>
      <w:r>
        <w:rPr>
          <w:rFonts w:cs="FrankRuehl" w:ascii="FrankRuehl" w:hAnsi="FrankRuehl"/>
          <w:color w:val="000000"/>
          <w:rtl w:val="true"/>
        </w:rPr>
        <w:t xml:space="preserve">: </w:t>
      </w:r>
    </w:p>
    <w:p>
      <w:pPr>
        <w:pStyle w:val="Normal"/>
        <w:numPr>
          <w:ilvl w:val="0"/>
          <w:numId w:val="5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hyperlink r:id="rId18">
        <w:r>
          <w:rPr>
            <w:rStyle w:val="Hyperlink"/>
            <w:rFonts w:ascii="FrankRuehl" w:hAnsi="FrankRuehl" w:cs="FrankRuehl"/>
            <w:color w:val="000000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00"/>
          </w:rPr>
          <w:t>1977</w:t>
        </w:r>
      </w:hyperlink>
      <w:r>
        <w:rPr>
          <w:rFonts w:cs="FrankRuehl" w:ascii="FrankRuehl" w:hAnsi="FrankRuehl"/>
          <w:color w:val="000000"/>
          <w:rtl w:val="true"/>
        </w:rPr>
        <w:t xml:space="preserve">: </w:t>
      </w:r>
      <w:r>
        <w:rPr>
          <w:rFonts w:ascii="FrankRuehl" w:hAnsi="FrankRuehl" w:cs="FrankRuehl"/>
          <w:color w:val="000000"/>
          <w:rtl w:val="true"/>
        </w:rPr>
        <w:t>סע</w:t>
      </w:r>
      <w:r>
        <w:rPr>
          <w:rFonts w:cs="FrankRuehl" w:ascii="FrankRuehl" w:hAnsi="FrankRuehl"/>
          <w:color w:val="000000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00"/>
          </w:rPr>
          <w:t>29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00"/>
          </w:rPr>
          <w:t>40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'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00"/>
          </w:rPr>
          <w:t>144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'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00"/>
          </w:rPr>
          <w:t>275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00"/>
          </w:rPr>
          <w:t>40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'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00"/>
          </w:rPr>
          <w:t>40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'</w:t>
        </w:r>
      </w:hyperlink>
    </w:p>
    <w:p>
      <w:pPr>
        <w:pStyle w:val="Normal"/>
        <w:numPr>
          <w:ilvl w:val="0"/>
          <w:numId w:val="5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hyperlink r:id="rId25">
        <w:r>
          <w:rPr>
            <w:rStyle w:val="Hyperlink"/>
            <w:rFonts w:ascii="FrankRuehl" w:hAnsi="FrankRuehl" w:cs="FrankRuehl"/>
            <w:color w:val="000000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00"/>
          </w:rPr>
          <w:t>1952</w:t>
        </w:r>
      </w:hyperlink>
      <w:r>
        <w:rPr>
          <w:rFonts w:cs="FrankRuehl" w:ascii="FrankRuehl" w:hAnsi="FrankRuehl"/>
          <w:color w:val="000000"/>
          <w:rtl w:val="true"/>
        </w:rPr>
        <w:t xml:space="preserve">: </w:t>
      </w:r>
      <w:r>
        <w:rPr>
          <w:rFonts w:ascii="FrankRuehl" w:hAnsi="FrankRuehl" w:cs="FrankRuehl"/>
          <w:color w:val="000000"/>
          <w:rtl w:val="true"/>
        </w:rPr>
        <w:t>סע</w:t>
      </w:r>
      <w:r>
        <w:rPr>
          <w:rFonts w:cs="FrankRuehl" w:ascii="FrankRuehl" w:hAnsi="FrankRuehl"/>
          <w:color w:val="000000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color w:val="000000"/>
          </w:rPr>
          <w:t>12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00"/>
          </w:rPr>
          <w:t>1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)</w:t>
        </w:r>
      </w:hyperlink>
    </w:p>
    <w:p>
      <w:pPr>
        <w:pStyle w:val="Normal"/>
        <w:numPr>
          <w:ilvl w:val="0"/>
          <w:numId w:val="5"/>
        </w:numP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center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center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center"/>
        <w:rPr>
          <w:rFonts w:ascii="David" w:hAnsi="David" w:cs="David"/>
          <w:bCs/>
          <w:color w:val="000000"/>
        </w:rPr>
      </w:pPr>
      <w:r>
        <w:rPr>
          <w:rFonts w:ascii="David" w:hAnsi="David"/>
          <w:color w:val="000000"/>
          <w:rtl w:val="true"/>
        </w:rPr>
        <w:t>ם</w:t>
      </w:r>
      <w:r>
        <w:rPr>
          <w:rFonts w:ascii="David" w:hAnsi="David"/>
          <w:bCs/>
          <w:color w:val="000000"/>
          <w:rtl w:val="true"/>
        </w:rPr>
        <w:t>לעצור ראוי וצריך על פי דין להישמע להם</w:t>
      </w:r>
      <w:r>
        <w:rPr>
          <w:rFonts w:cs="David" w:ascii="David" w:hAnsi="David"/>
          <w:bCs/>
          <w:color w:val="000000"/>
          <w:rtl w:val="true"/>
        </w:rPr>
        <w:t xml:space="preserve">. </w:t>
      </w:r>
      <w:r>
        <w:rPr>
          <w:rFonts w:ascii="David" w:hAnsi="David"/>
          <w:bCs/>
          <w:color w:val="000000"/>
          <w:rtl w:val="true"/>
        </w:rPr>
        <w:t xml:space="preserve">בנוסף בכל הנוגע לנאשם </w:t>
      </w:r>
      <w:r>
        <w:rPr>
          <w:rFonts w:cs="David" w:ascii="David" w:hAnsi="David"/>
          <w:bCs/>
          <w:color w:val="000000"/>
        </w:rPr>
        <w:t>2</w:t>
      </w:r>
      <w:r>
        <w:rPr>
          <w:rFonts w:cs="David"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הרי שישנו גם הערך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להיכנס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לתחומי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תופעת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במחוז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להדגיש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בוודאי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נמשכת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שמשתלבת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והימלטות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בחולצה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הידיעה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שמעשיהם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שלטענתם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מסתובבים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ומדוע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נמלטים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מהמשטרה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ובוודאי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פסיקת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בצעירים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שנכנס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שמסוכנותו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ההנחיה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נולדה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בשטח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לארבע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.        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פריג</w:t>
      </w:r>
      <w:r>
        <w:rPr>
          <w:rFonts w:cs="David" w:ascii="David" w:hAnsi="David"/>
          <w:color w:val="000000"/>
          <w:rtl w:val="true"/>
        </w:rPr>
        <w:t xml:space="preserve">', </w:t>
      </w:r>
      <w:r>
        <w:rPr>
          <w:rFonts w:ascii="David" w:hAnsi="David"/>
          <w:color w:val="000000"/>
          <w:rtl w:val="true"/>
        </w:rPr>
        <w:t>ראשית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סגור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דקות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מלוכלך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מלוכלך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רגעית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שיכולים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סגורים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תעבורתי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מכובדים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שמכירים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מתבייש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אינדיבידואלית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ביוזמת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25,000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לאסופה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להיכנס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להערכות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המסוכנות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מפחיתה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לחלוטין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חרוץ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מפרנס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כעתירת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.    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זילברברג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מודיעיני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פושע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עימם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המרכזית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שבסמכות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שהוגשה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ועתירות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חייבת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שאכזב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ומקווה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והכשלת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וסמכויות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אכיפת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זכותה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בשעריה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בסל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8.3.17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המתגלגל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ביטחונית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פגיעתו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מורגשת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עיסוק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הדרגתית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המושתים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לקיפוח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>, 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ניקוב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בצוותא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מהשוטרים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מאידך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3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ברשותם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ניקוב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דולקים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מהבהבים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כריזה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להוראתם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והמשיכו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במנוסתם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המרדף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החליטו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יאט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לקפוץ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אוחז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בהגיעם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למגרש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הכדורגל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קפץ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עטוף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ומגולגל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בחולצה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הקפיצה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התגלגל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בפתאומיות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קפץ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לברוח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ונעצר</w:t>
      </w:r>
      <w:r>
        <w:rPr>
          <w:rFonts w:cs="David" w:ascii="David" w:hAnsi="David"/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707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באשר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לחלקו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היחסי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שחלפה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להאיץ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המשתמשים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קפץ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בהיבט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13" w:start="720" w:end="0"/>
        <w:jc w:val="both"/>
        <w:rPr/>
      </w:pPr>
      <w:r>
        <w:rPr>
          <w:b/>
          <w:b/>
          <w:bCs/>
          <w:color w:val="000000"/>
          <w:rtl w:val="true"/>
        </w:rPr>
        <w:t>באשר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לכמותו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לתכלית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שלשמה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1332/04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</w:rPr>
        <w:t>541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544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2004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ניקוב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13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נהיגתו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שכלי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נאלצו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ולילד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לבהלה</w:t>
      </w:r>
      <w:r>
        <w:rPr>
          <w:rFonts w:cs="David" w:ascii="David" w:hAnsi="David"/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עשויים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פוחזת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נמחקה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color w:val="000000"/>
          <w:rtl w:val="true"/>
        </w:rPr>
        <w:t xml:space="preserve">).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9.16</w:t>
      </w:r>
      <w:r>
        <w:rPr>
          <w:rFonts w:cs="David" w:ascii="David" w:hAnsi="David"/>
          <w:color w:val="000000"/>
          <w:rtl w:val="true"/>
        </w:rPr>
        <w:t xml:space="preserve"> "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בעבירות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ומטעני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חבלה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7.8.16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הפרקליטות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בהתעלם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שבהנחיה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והיגיון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בהנחיה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הקונקרטיות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ההחזקה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נשיאה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9779/17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17.4.18</w:t>
      </w:r>
      <w:r>
        <w:rPr>
          <w:rtl w:val="true"/>
        </w:rPr>
        <w:t xml:space="preserve">)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הדמוקרטית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8.12.14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24.8.14</w:t>
      </w:r>
      <w:r>
        <w:rPr>
          <w:rtl w:val="true"/>
        </w:rPr>
        <w:t xml:space="preserve">)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5004/17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אלעטאונה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20.11.17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).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) </w:t>
      </w:r>
      <w:hyperlink r:id="rId39">
        <w:r>
          <w:rPr>
            <w:rStyle w:val="Hyperlink"/>
            <w:color w:val="0000FF"/>
            <w:u w:val="single"/>
          </w:rPr>
          <w:t>27417-11-15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17.1.16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ספרינגפילד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32413-12-17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28.6.18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37083-11-14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עיסאוי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13.12.15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18254-03-16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28.9.17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tl w:val="true"/>
        </w:rPr>
        <w:t xml:space="preserve">,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1647-05-15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32521-05-13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30.9.13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13281-07-13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22.10.15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1505/14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לידאוי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4.11.14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טאטור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1.2.15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עוואודה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30.12.09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8846/15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דראז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13.3.16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6059-02-12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גהגאה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19.4.12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6138-03-11</w:t>
        </w:r>
      </w:hyperlink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נצ</w:t>
      </w:r>
      <w:r>
        <w:rPr>
          <w:rFonts w:cs="David" w:ascii="David" w:hAnsi="David"/>
          <w:color w:val="000000"/>
          <w:rtl w:val="true"/>
        </w:rPr>
        <w:t xml:space="preserve">') </w:t>
      </w:r>
      <w:hyperlink r:id="rId52">
        <w:r>
          <w:rPr>
            <w:rStyle w:val="Hyperlink"/>
            <w:rFonts w:cs="David" w:ascii="David" w:hAnsi="David"/>
            <w:color w:val="0000FF"/>
            <w:u w:val="single"/>
          </w:rPr>
          <w:t>6138-03-11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חאמד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19.7.11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ועוד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שהוחזק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כמו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מצאתי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3244-06-16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21.12.17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כטענת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הערעור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1640/18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סויסה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10.7.18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56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36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57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ובמשפחתם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28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 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;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 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b/>
          <w:b/>
          <w:bCs/>
          <w:rtl w:val="true"/>
        </w:rPr>
        <w:t>התנהגותם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ותרומתם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הופקד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לבטא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הדומיננטיות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הופקד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8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u w:val="single"/>
        </w:rPr>
        <w:t>1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18.2.18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47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18.2.18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חלוט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הנשק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והמחסנית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יחולטו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יושמדו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לפי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שיקול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דעת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קצין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משטרה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1106-03-18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סאמה צרצור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840"/>
        </w:tabs>
        <w:ind w:start="84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740"/>
        </w:tabs>
        <w:ind w:start="174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460"/>
        </w:tabs>
        <w:ind w:start="24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000"/>
        </w:tabs>
        <w:ind w:start="300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720"/>
        </w:tabs>
        <w:ind w:start="372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440"/>
        </w:tabs>
        <w:ind w:start="444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160"/>
        </w:tabs>
        <w:ind w:start="516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880"/>
        </w:tabs>
        <w:ind w:start="588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600"/>
        </w:tabs>
        <w:ind w:start="660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David"/>
      <w:b w:val="false"/>
      <w:bCs w:val="false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David"/>
      <w:b w:val="false"/>
      <w:bCs w:val="false"/>
    </w:rPr>
  </w:style>
  <w:style w:type="character" w:styleId="WW8Num5z3">
    <w:name w:val="WW8Num5z3"/>
    <w:qFormat/>
    <w:rPr>
      <w:rFonts w:cs="Times New Roman"/>
    </w:rPr>
  </w:style>
  <w:style w:type="character" w:styleId="WW8Num6z0">
    <w:name w:val="WW8Num6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5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a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law/90721/12.1" TargetMode="External"/><Relationship Id="rId11" Type="http://schemas.openxmlformats.org/officeDocument/2006/relationships/hyperlink" Target="http://www.nevo.co.il/law/70301/144a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90721/12.1" TargetMode="External"/><Relationship Id="rId17" Type="http://schemas.openxmlformats.org/officeDocument/2006/relationships/hyperlink" Target="http://www.nevo.co.il/law/9072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law/70301/144a" TargetMode="External"/><Relationship Id="rId22" Type="http://schemas.openxmlformats.org/officeDocument/2006/relationships/hyperlink" Target="http://www.nevo.co.il/law/70301/275" TargetMode="External"/><Relationship Id="rId23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law/70301/40jc" TargetMode="External"/><Relationship Id="rId25" Type="http://schemas.openxmlformats.org/officeDocument/2006/relationships/hyperlink" Target="http://www.nevo.co.il/law/90721" TargetMode="External"/><Relationship Id="rId26" Type="http://schemas.openxmlformats.org/officeDocument/2006/relationships/hyperlink" Target="http://www.nevo.co.il/law/90721/12.1" TargetMode="External"/><Relationship Id="rId27" Type="http://schemas.openxmlformats.org/officeDocument/2006/relationships/hyperlink" Target="http://www.nevo.co.il/case/22006503" TargetMode="External"/><Relationship Id="rId28" Type="http://schemas.openxmlformats.org/officeDocument/2006/relationships/hyperlink" Target="http://www.nevo.co.il/case/7791493" TargetMode="External"/><Relationship Id="rId29" Type="http://schemas.openxmlformats.org/officeDocument/2006/relationships/hyperlink" Target="http://www.nevo.co.il/case/20723375" TargetMode="External"/><Relationship Id="rId30" Type="http://schemas.openxmlformats.org/officeDocument/2006/relationships/hyperlink" Target="http://www.nevo.co.il/case/18086234" TargetMode="External"/><Relationship Id="rId31" Type="http://schemas.openxmlformats.org/officeDocument/2006/relationships/hyperlink" Target="http://www.nevo.co.il/law/70301/40i" TargetMode="External"/><Relationship Id="rId32" Type="http://schemas.openxmlformats.org/officeDocument/2006/relationships/hyperlink" Target="http://www.nevo.co.il/case/23509033" TargetMode="External"/><Relationship Id="rId33" Type="http://schemas.openxmlformats.org/officeDocument/2006/relationships/hyperlink" Target="http://www.nevo.co.il/case/16944929" TargetMode="External"/><Relationship Id="rId34" Type="http://schemas.openxmlformats.org/officeDocument/2006/relationships/hyperlink" Target="http://www.nevo.co.il/case/22006503" TargetMode="External"/><Relationship Id="rId35" Type="http://schemas.openxmlformats.org/officeDocument/2006/relationships/hyperlink" Target="http://www.nevo.co.il/case/21771409" TargetMode="External"/><Relationship Id="rId36" Type="http://schemas.openxmlformats.org/officeDocument/2006/relationships/hyperlink" Target="http://www.nevo.co.il/case/16913730" TargetMode="External"/><Relationship Id="rId37" Type="http://schemas.openxmlformats.org/officeDocument/2006/relationships/hyperlink" Target="http://www.nevo.co.il/case/22791136" TargetMode="External"/><Relationship Id="rId38" Type="http://schemas.openxmlformats.org/officeDocument/2006/relationships/hyperlink" Target="http://www.nevo.co.il/case/21475135" TargetMode="External"/><Relationship Id="rId39" Type="http://schemas.openxmlformats.org/officeDocument/2006/relationships/hyperlink" Target="http://www.nevo.co.il/case/20723375" TargetMode="External"/><Relationship Id="rId40" Type="http://schemas.openxmlformats.org/officeDocument/2006/relationships/hyperlink" Target="http://www.nevo.co.il/case/23415628" TargetMode="External"/><Relationship Id="rId41" Type="http://schemas.openxmlformats.org/officeDocument/2006/relationships/hyperlink" Target="http://www.nevo.co.il/case/18164843" TargetMode="External"/><Relationship Id="rId42" Type="http://schemas.openxmlformats.org/officeDocument/2006/relationships/hyperlink" Target="http://www.nevo.co.il/case/21974741" TargetMode="External"/><Relationship Id="rId43" Type="http://schemas.openxmlformats.org/officeDocument/2006/relationships/hyperlink" Target="http://www.nevo.co.il/case/20241124" TargetMode="External"/><Relationship Id="rId44" Type="http://schemas.openxmlformats.org/officeDocument/2006/relationships/hyperlink" Target="http://www.nevo.co.il/case/7843715" TargetMode="External"/><Relationship Id="rId45" Type="http://schemas.openxmlformats.org/officeDocument/2006/relationships/hyperlink" Target="http://www.nevo.co.il/case/7775344" TargetMode="External"/><Relationship Id="rId46" Type="http://schemas.openxmlformats.org/officeDocument/2006/relationships/hyperlink" Target="http://www.nevo.co.il/case/13015506" TargetMode="External"/><Relationship Id="rId47" Type="http://schemas.openxmlformats.org/officeDocument/2006/relationships/hyperlink" Target="http://www.nevo.co.il/case/17954222" TargetMode="External"/><Relationship Id="rId48" Type="http://schemas.openxmlformats.org/officeDocument/2006/relationships/hyperlink" Target="http://www.nevo.co.il/case/6000182" TargetMode="External"/><Relationship Id="rId49" Type="http://schemas.openxmlformats.org/officeDocument/2006/relationships/hyperlink" Target="http://www.nevo.co.il/case/20817891" TargetMode="External"/><Relationship Id="rId50" Type="http://schemas.openxmlformats.org/officeDocument/2006/relationships/hyperlink" Target="http://www.nevo.co.il/case/4258499" TargetMode="External"/><Relationship Id="rId51" Type="http://schemas.openxmlformats.org/officeDocument/2006/relationships/hyperlink" Target="http://www.nevo.co.il/case/2926792" TargetMode="External"/><Relationship Id="rId52" Type="http://schemas.openxmlformats.org/officeDocument/2006/relationships/hyperlink" Target="http://www.nevo.co.il/case/2926792" TargetMode="External"/><Relationship Id="rId53" Type="http://schemas.openxmlformats.org/officeDocument/2006/relationships/hyperlink" Target="http://www.nevo.co.il/case/21943447" TargetMode="External"/><Relationship Id="rId54" Type="http://schemas.openxmlformats.org/officeDocument/2006/relationships/hyperlink" Target="http://www.nevo.co.il/case/23751483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jc" TargetMode="External"/><Relationship Id="rId57" Type="http://schemas.openxmlformats.org/officeDocument/2006/relationships/hyperlink" Target="http://www.nevo.co.il/law/70301/40ja" TargetMode="External"/><Relationship Id="rId58" Type="http://schemas.openxmlformats.org/officeDocument/2006/relationships/hyperlink" Target="http://www.nevo.co.il/law/90721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2019-01-28T10:51:00Z</dcterms:created>
  <dc:creator> </dc:creator>
  <dc:description/>
  <cp:keywords/>
  <dc:language>en-IL</dc:language>
  <cp:lastModifiedBy>h10</cp:lastModifiedBy>
  <dcterms:modified xsi:type="dcterms:W3CDTF">2019-01-28T10:51:00Z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סאמה צרצור;עבדאללה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22006503:2;7791493;20723375:2;18086234;23509033;16944929;21771409;16913730;22791136;21475135;23415628;18164843;21974741;20241124;7843715;7775344;13015506;17954222;6000182;20817891;4258499;2926792:2;21943447;23751483</vt:lpwstr>
  </property>
  <property fmtid="{D5CDD505-2E9C-101B-9397-08002B2CF9AE}" pid="9" name="CITY">
    <vt:lpwstr>מרכז</vt:lpwstr>
  </property>
  <property fmtid="{D5CDD505-2E9C-101B-9397-08002B2CF9AE}" pid="10" name="DATE">
    <vt:lpwstr>20180917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70301/029:3;040i:2;144a:2;275:2;40ja:2;40jc:2</vt:lpwstr>
  </property>
  <property fmtid="{D5CDD505-2E9C-101B-9397-08002B2CF9AE}" pid="15" name="LAWLISTTMP2">
    <vt:lpwstr>90721/012.1:2</vt:lpwstr>
  </property>
  <property fmtid="{D5CDD505-2E9C-101B-9397-08002B2CF9AE}" pid="16" name="LAWYER">
    <vt:lpwstr>יעל זליג;אנואר פריג';יוסי זילברברג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1106</vt:lpwstr>
  </property>
  <property fmtid="{D5CDD505-2E9C-101B-9397-08002B2CF9AE}" pid="23" name="NEWPARTB">
    <vt:lpwstr>03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390020180917</vt:lpwstr>
  </property>
  <property fmtid="{D5CDD505-2E9C-101B-9397-08002B2CF9AE}" pid="35" name="TYPE_N_DATE">
    <vt:lpwstr>39020180917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