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1108-05-15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יאיר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וינשטיין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ו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22.9.1985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 בו ביום </w:t>
      </w:r>
      <w:r>
        <w:rPr>
          <w:rFonts w:cs="Arial" w:ascii="Arial" w:hAnsi="Arial"/>
        </w:rPr>
        <w:t>27.10.15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מכפירתו בעקבות הסדר טיעון אליו הגיעו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והודה בעובדות 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לכך הורשע הנאשם בשתי עבירות של סחר בסם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19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המאשימה עתרה במסגרת כתב האישום המתוקן להכריז על הנאשם כסוחר סמים ולהורות על חילוט מזומנים בסך של </w:t>
      </w:r>
      <w:r>
        <w:rPr>
          <w:rFonts w:cs="Arial" w:ascii="Arial" w:hAnsi="Arial"/>
        </w:rPr>
        <w:t>10,025</w:t>
      </w:r>
      <w:r>
        <w:rPr>
          <w:rFonts w:cs="Arial" w:ascii="Arial" w:hAnsi="Arial"/>
          <w:rtl w:val="true"/>
        </w:rPr>
        <w:t xml:space="preserve"> ₪, </w:t>
      </w:r>
      <w:r>
        <w:rPr>
          <w:rFonts w:cs="Arial" w:ascii="Arial" w:hAnsi="Arial"/>
        </w:rPr>
        <w:t>140$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Euro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סך של </w:t>
      </w:r>
      <w:r>
        <w:rPr>
          <w:rFonts w:cs="Arial" w:ascii="Arial" w:hAnsi="Arial"/>
        </w:rPr>
        <w:t>3,001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המופקדים בבנק הפועלים בחשבון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687253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שם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הצדדים לא הגיעו להסדר ביניהם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הוסכם כי הנאשם לא היה ברשימת היעדים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כהגדרתו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הסוכן הוא זה שיצר את הקשר הראשוני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הוסכם כי טיעונים לעניין הכרזת הנאשם כסוחר סמים ולעניין חילוט הכספים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יישמעו במסגרת הטיעון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התבקש בעניינו של הנאשם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וטיעוני באי כוח הצדדים לעניין העונש ולעניין הכרזת הנאשם כסוחר סמים וחילוט הכספים נשמעו ביום </w:t>
      </w:r>
      <w:r>
        <w:rPr>
          <w:rFonts w:cs="Arial" w:ascii="Arial" w:hAnsi="Arial"/>
        </w:rPr>
        <w:t>19.11.15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במועדים הרלבנטיים הופעל אדהאם סאלם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בשליחות משטרת ישראל ורכש בהוראתה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באישורה ובכספה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4.12.14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השעות </w:t>
      </w:r>
      <w:r>
        <w:rPr>
          <w:rFonts w:cs="Arial" w:ascii="Arial" w:hAnsi="Arial"/>
        </w:rPr>
        <w:t>13:28-13:57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בסמוך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אולה</w:t>
      </w:r>
      <w:r>
        <w:rPr>
          <w:rtl w:val="true"/>
        </w:rPr>
        <w:t xml:space="preserve">"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המפגש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14:25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16:10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7.12.14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13:27-14:21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14:31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19:52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14:19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23.12.14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12:47-20:39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המפגש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20:40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296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במיוחד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ובאופן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ספציפי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האקסטזי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ונזקיו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השימוש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הנפוץ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בעיקר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ופוטנציאל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הנזק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הגלום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בשימוש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ממאמרה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יפה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צוברי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מידענית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ואסופת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מאמרים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ובכמות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אקסטזי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585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המחייבת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sz w:val="24"/>
          <w:szCs w:val="24"/>
          <w:rtl w:val="true"/>
        </w:rPr>
        <w:t>.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דומיננטי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שתחילה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הסוכן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לאדם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שיספק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הפגישות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נכח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וקיבל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הוסכם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טבען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שקשה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לחשוף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והפיתוי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מרתיעים</w:t>
      </w:r>
      <w:r>
        <w:rPr>
          <w:sz w:val="24"/>
          <w:szCs w:val="24"/>
          <w:rtl w:val="true"/>
        </w:rPr>
        <w:t>.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rFonts w:eastAsia="Times" w:cs="Times"/>
          <w:sz w:val="24"/>
          <w:szCs w:val="24"/>
          <w:rtl w:val="true"/>
        </w:rPr>
        <w:t xml:space="preserve">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בשני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מועדים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מרוחקים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כשבכל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העסקאות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ודרך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להעברת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מוצדק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ומצטברים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יקבע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באירוע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מלקבוע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1082/14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אשרף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b/>
          <w:bCs/>
          <w:sz w:val="24"/>
          <w:szCs w:val="24"/>
          <w:u w:val="single"/>
          <w:rtl w:val="true"/>
        </w:rPr>
        <w:t>'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סאר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ניתן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23.7.15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אשר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בשאלה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אירוע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צורך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גזירת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בהתאם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לפסיקה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בכדורי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אקסטזי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בכמויות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קטנות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מהכמות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נגזרו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 xml:space="preserve"> </w:t>
      </w:r>
      <w:r>
        <w:rPr>
          <w:sz w:val="24"/>
          <w:sz w:val="24"/>
          <w:szCs w:val="24"/>
          <w:rtl w:val="true"/>
        </w:rPr>
        <w:t>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שנפגע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ממידת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במדיניות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הנהוגה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ובנסיבות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2-4.5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לכמות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הכוללת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העסקאות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585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ופסילת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בנפרד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עניינו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בחלק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שחסך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בהודייתו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ההפעלה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ולצבור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שייגזרו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העסקאות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מלהמשיך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ולבצע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השכיל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לנצל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ההזדמנויות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הושת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.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szCs w:val="24"/>
            <w:u w:val="single"/>
          </w:rPr>
          <w:t>37563-05-10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הוארך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18.12.13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בקריות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18702-02-13</w:t>
        </w:r>
      </w:hyperlink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הפעלה</w:t>
      </w:r>
      <w:r>
        <w:rPr>
          <w:sz w:val="24"/>
          <w:szCs w:val="24"/>
          <w:rtl w:val="true"/>
        </w:rPr>
        <w:t xml:space="preserve">.  </w:t>
      </w:r>
    </w:p>
    <w:p>
      <w:pPr>
        <w:pStyle w:val="Style15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לקיומו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שהוארך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נרתע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מביצוע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. </w:t>
      </w:r>
    </w:p>
    <w:p>
      <w:pPr>
        <w:pStyle w:val="Style15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3869/09</w:t>
        </w:r>
      </w:hyperlink>
      <w:r>
        <w:rPr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יצחק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סלימאן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המותנה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במלואו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ובמצטבר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שיושת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מאחר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והכלל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מצטבר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ורק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ישקול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חופף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מקרהו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להפעיל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המותנה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/>
        <w:t>140$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/>
        <w:t>Euro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687253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19.4.15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13.4.15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/>
        <w:t>Euro</w:t>
      </w:r>
      <w:r>
        <w:rPr>
          <w:rtl w:val="true"/>
        </w:rPr>
        <w:t xml:space="preserve">,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Style15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סוף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להטלת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ולמיקומו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במתחם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ופסילת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רישיון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הנהיגה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ובנוסף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לחילוט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הכספים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</w:t>
      </w:r>
      <w:r>
        <w:rPr>
          <w:rtl w:val="true"/>
        </w:rPr>
        <w:t xml:space="preserve">' </w:t>
      </w:r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20815-01-15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שושן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470/83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נתמכי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395/75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, </w:t>
      </w:r>
      <w:r>
        <w:rPr>
          <w:rtl w:val="true"/>
        </w:rPr>
        <w:t>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19.4.15</w:t>
      </w:r>
      <w:r>
        <w:rPr>
          <w:rtl w:val="true"/>
        </w:rPr>
        <w:t xml:space="preserve">),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37563-05-10</w:t>
        </w:r>
      </w:hyperlink>
      <w:r>
        <w:rPr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'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/</w:t>
      </w:r>
      <w:r>
        <w:rPr>
          <w:rtl w:val="true"/>
        </w:rPr>
        <w:t>האמצעי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נתמכי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/>
        <w:t>Euro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קלפים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לחלטם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להשתלת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tl w:val="true"/>
        </w:rPr>
        <w:t xml:space="preserve">, </w:t>
      </w:r>
      <w:r>
        <w:rPr>
          <w:rtl w:val="true"/>
        </w:rPr>
        <w:t>שהתגוררו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העיקרון המנחה בענישה – הוא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נדרש כי יתקיים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300"/>
        <w:ind w:start="72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רשימה של 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בהתקיימן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בהתקיים חלק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להשפיע על קביעת חומרת מעשה העבירה ועל אשמו של הנאשם ובכך על קביעת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ברשימה זו נכללת הנסיבה של תכנון שקדם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היחסי של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שהיה צפוי להיגרם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שהביאו את הנאשם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להבין את אשר הוא 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להימנע ממעשה העבירה ומידת השליטה שלו על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והקרבה לסייג של אחריות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מתייחס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לפיהן ייקבע עונשו הספציפי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נסיבות אלו נמנות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של 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בבני 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לנאשם מביצוע העבירה ומהרשעתו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 על ידי הנאשם על מעשיו וחזרתו למוטב או מאמציו לחזור למוטב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רשויות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קשות של הנאשם שהיתה להן השפעה על ביצוע 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עברו הפלילי של הנאשם או העדר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חריגה ממתחם העונש ההולם – לקולא או לחומרא – אפשרית בנסיבות הקבועות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 שיקום</w:t>
      </w:r>
      <w:r>
        <w:rPr>
          <w:rFonts w:cs="Arial" w:ascii="Arial" w:hAnsi="Arial"/>
          <w:rtl w:val="true"/>
        </w:rPr>
        <w:t xml:space="preserve">,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משיקולים של הגנה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השלב הראשון במלאכתו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בקביעה האם הרשעת הנאשם במספר עבירות מהווה אירוע אחד או 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ביחס אליהם נדרשת קביעה של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מכן יקבע בית המשפט את מתחם העונש בהתאם לעקרון ההלימה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האחרון יתייחס בית המשפט לנסיבות שאינן קשורות לעבירה ולנסיבות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לנסיבות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המאשימה כי עסקינן בשני אירועים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יש לראות בשתי העבירות כאירוע אחד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Cs/>
          <w:u w:val="single"/>
          <w:rtl w:val="true"/>
        </w:rPr>
        <w:t>ג</w:t>
      </w:r>
      <w:r>
        <w:rPr>
          <w:bCs/>
          <w:u w:val="single"/>
          <w:rtl w:val="true"/>
        </w:rPr>
        <w:t>'</w:t>
      </w:r>
      <w:r>
        <w:rPr>
          <w:bCs/>
          <w:u w:val="single"/>
          <w:rtl w:val="true"/>
        </w:rPr>
        <w:t>אבר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נ</w:t>
      </w:r>
      <w:r>
        <w:rPr>
          <w:bCs/>
          <w:u w:val="single"/>
          <w:rtl w:val="true"/>
        </w:rPr>
        <w:t xml:space="preserve">' </w:t>
      </w:r>
      <w:r>
        <w:rPr>
          <w:bCs/>
          <w:u w:val="single"/>
          <w:rtl w:val="true"/>
        </w:rPr>
        <w:t>מדינת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</w:t>
      </w:r>
      <w:r>
        <w:rPr/>
        <w:t>29.10.2014</w:t>
      </w:r>
      <w:r>
        <w:rPr>
          <w:rtl w:val="true"/>
        </w:rPr>
        <w:t xml:space="preserve">], </w:t>
      </w:r>
      <w:r>
        <w:rPr>
          <w:rtl w:val="true"/>
        </w:rPr>
        <w:t>הנוקט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הצורני</w:t>
      </w:r>
      <w:r>
        <w:rPr>
          <w:rtl w:val="true"/>
        </w:rPr>
        <w:t>-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אשר קבעה מבחן נוסף וחדש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הקשר ההדוק</w:t>
      </w:r>
      <w:r>
        <w:rPr>
          <w:rFonts w:cs="Arial" w:ascii="Arial" w:hAnsi="Arial"/>
          <w:rtl w:val="true"/>
        </w:rPr>
        <w:t xml:space="preserve">" – </w:t>
      </w:r>
      <w:r>
        <w:rPr>
          <w:rFonts w:ascii="Arial" w:hAnsi="Arial" w:cs="Arial"/>
          <w:rtl w:val="true"/>
        </w:rPr>
        <w:t>מדובר במקרה שבפני בשני אירועים נפרדים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entury" w:hAnsi="Century" w:cs="Century"/>
          <w:spacing w:val="6"/>
        </w:rPr>
      </w:pPr>
      <w:r>
        <w:rPr/>
        <w:t>46</w:t>
      </w:r>
      <w:r>
        <w:rPr>
          <w:rtl w:val="true"/>
        </w:rPr>
        <w:t xml:space="preserve">. </w:t>
      </w:r>
      <w:r>
        <w:rPr>
          <w:rFonts w:cs="Century" w:ascii="Century" w:hAnsi="Century"/>
          <w:spacing w:val="6"/>
          <w:rtl w:val="true"/>
        </w:rPr>
        <w:tab/>
      </w:r>
      <w:r>
        <w:rPr>
          <w:rFonts w:ascii="Century" w:hAnsi="Century" w:cs="Century"/>
          <w:spacing w:val="6"/>
          <w:rtl w:val="true"/>
        </w:rPr>
        <w:t>מדובר בשתי עסקאות סם שבוצעו בהפרש של כשבועיים בין האחת לשנייה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לא נעשו ברצף ולא היו קשורות אחת בשנייה בקשר של פעולות עוקבות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>כפי העולה מכתב האישום המתוקן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כל עסקת סם תוכננה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בוצעה ויצאה אל הפועל באופן נפרד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>אין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אפוא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סמיכות של זמנים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אין גם סמיכות של מקום מלבד העובדה שבוצעו באותה עיר – קריית חיים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 xml:space="preserve">העסקה הראשונה בוצעה בסמוך לביתו של הסוכן ברחוב שבטי ישראל </w:t>
      </w:r>
      <w:r>
        <w:rPr>
          <w:rFonts w:cs="Century" w:ascii="Century" w:hAnsi="Century"/>
          <w:spacing w:val="6"/>
        </w:rPr>
        <w:t>54</w:t>
      </w:r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בקריית חיים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 xml:space="preserve">והעסקה השנייה בוצעה ברחוב משה שרת </w:t>
      </w:r>
      <w:r>
        <w:rPr>
          <w:rFonts w:cs="Century" w:ascii="Century" w:hAnsi="Century"/>
          <w:spacing w:val="6"/>
        </w:rPr>
        <w:t>55</w:t>
      </w:r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rFonts w:ascii="Century" w:hAnsi="Century" w:cs="Century"/>
          <w:spacing w:val="6"/>
          <w:rtl w:val="true"/>
        </w:rPr>
        <w:t>בקריית חיים</w:t>
      </w:r>
      <w:r>
        <w:rPr>
          <w:rFonts w:cs="Century" w:ascii="Century" w:hAnsi="Century"/>
          <w:spacing w:val="6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entury" w:hAnsi="Century" w:cs="Century"/>
          <w:b/>
          <w:bCs/>
          <w:spacing w:val="6"/>
        </w:rPr>
      </w:pPr>
      <w:r>
        <w:rPr>
          <w:rFonts w:cs="Century" w:ascii="Century" w:hAnsi="Century"/>
          <w:b/>
          <w:bCs/>
          <w:spacing w:val="6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entury" w:hAnsi="Century" w:cs="Century"/>
          <w:b/>
          <w:bCs/>
          <w:spacing w:val="6"/>
        </w:rPr>
      </w:pPr>
      <w:r>
        <w:rPr>
          <w:rFonts w:cs="Century" w:ascii="Century" w:hAnsi="Century"/>
          <w:b/>
          <w:bCs/>
          <w:spacing w:val="6"/>
          <w:rtl w:val="true"/>
        </w:rPr>
        <w:tab/>
      </w:r>
      <w:r>
        <w:rPr>
          <w:rFonts w:ascii="Century" w:hAnsi="Century" w:cs="Century"/>
          <w:spacing w:val="6"/>
          <w:rtl w:val="true"/>
        </w:rPr>
        <w:t>לא מצאתי גם כי מדובר בעבירות שבוצעו כחלק ממכלול אחד של פעולות ואף לא עולה מכתב האישום המתוקן כי מדובר בתכנון פלילי אחד או במחשבה פלילית אחת</w:t>
      </w:r>
      <w:r>
        <w:rPr>
          <w:rFonts w:cs="Century" w:ascii="Century" w:hAnsi="Century"/>
          <w:spacing w:val="6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entury" w:hAnsi="Century" w:cs="Century"/>
          <w:spacing w:val="6"/>
        </w:rPr>
      </w:pPr>
      <w:r>
        <w:rPr>
          <w:rFonts w:cs="Century" w:ascii="Century" w:hAnsi="Century"/>
          <w:spacing w:val="6"/>
        </w:rPr>
        <w:t>47</w:t>
      </w:r>
      <w:r>
        <w:rPr>
          <w:rFonts w:cs="Century" w:ascii="Century" w:hAnsi="Century"/>
          <w:spacing w:val="6"/>
          <w:rtl w:val="true"/>
        </w:rPr>
        <w:t>.</w:t>
        <w:tab/>
      </w:r>
      <w:r>
        <w:rPr>
          <w:rFonts w:ascii="Century" w:hAnsi="Century" w:cs="Century"/>
          <w:spacing w:val="6"/>
          <w:rtl w:val="true"/>
        </w:rPr>
        <w:t>יתר על כן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איני סבורה כי ניתן לומר כי קיים קשר ענייני הדוק בין שתי עבירות הסחר שבהן הואשם והורשע הנאשם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>אמנם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 xml:space="preserve">מדובר באותם צדדים בשתי עסקאות הסחר בסם – הסוכן והנאשם </w:t>
      </w:r>
      <w:r>
        <w:rPr>
          <w:rFonts w:cs="Century" w:ascii="Century" w:hAnsi="Century"/>
          <w:spacing w:val="6"/>
          <w:rtl w:val="true"/>
        </w:rPr>
        <w:t xml:space="preserve">- </w:t>
      </w:r>
      <w:r>
        <w:rPr>
          <w:rFonts w:ascii="Century" w:hAnsi="Century" w:cs="Century"/>
          <w:spacing w:val="6"/>
          <w:rtl w:val="true"/>
        </w:rPr>
        <w:t>ואף באותו סוג סם ובכמות כמעט זהה בשתי העסקאות</w:t>
      </w:r>
      <w:r>
        <w:rPr>
          <w:rFonts w:cs="Century" w:ascii="Century" w:hAnsi="Century"/>
          <w:spacing w:val="6"/>
          <w:rtl w:val="true"/>
        </w:rPr>
        <w:t xml:space="preserve">. </w:t>
      </w:r>
      <w:r>
        <w:rPr>
          <w:rFonts w:ascii="Century" w:hAnsi="Century" w:cs="Century"/>
          <w:spacing w:val="6"/>
          <w:rtl w:val="true"/>
        </w:rPr>
        <w:t>עם זאת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לא קיימת סמיכות זמנים סבירה בין שתי העסקאות</w:t>
      </w:r>
      <w:r>
        <w:rPr>
          <w:rFonts w:cs="Century" w:ascii="Century" w:hAnsi="Century"/>
          <w:spacing w:val="6"/>
          <w:rtl w:val="true"/>
        </w:rPr>
        <w:t xml:space="preserve">, </w:t>
      </w:r>
      <w:r>
        <w:rPr>
          <w:rFonts w:ascii="Century" w:hAnsi="Century" w:cs="Century"/>
          <w:spacing w:val="6"/>
          <w:rtl w:val="true"/>
        </w:rPr>
        <w:t>לא קיימת אינדיקציה להיותן מהוות בצוותא רצף של אירועים ולטעמי עובדות אלו שוללות קביעה בדבר תוכנית עבריינית אחת כוללת</w:t>
      </w:r>
      <w:r>
        <w:rPr>
          <w:rFonts w:cs="Century" w:ascii="Century" w:hAnsi="Century"/>
          <w:spacing w:val="6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eastAsia="Calibri" w:cs="Arial"/>
        </w:rPr>
      </w:pPr>
      <w:r>
        <w:rPr>
          <w:rFonts w:cs="Miriam" w:ascii="Century" w:hAnsi="Century"/>
          <w:spacing w:val="6"/>
          <w:rtl w:val="true"/>
        </w:rPr>
        <w:tab/>
      </w:r>
      <w:r>
        <w:rPr>
          <w:rFonts w:ascii="Century" w:hAnsi="Century" w:cs="Century"/>
          <w:spacing w:val="6"/>
          <w:rtl w:val="true"/>
        </w:rPr>
        <w:t xml:space="preserve">נא ראו לעניין זה גם </w:t>
      </w:r>
      <w:r>
        <w:rPr>
          <w:rFonts w:ascii="Arial" w:hAnsi="Arial" w:cs="Arial"/>
          <w:rtl w:val="true"/>
        </w:rPr>
        <w:t xml:space="preserve">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אברהם אלחיאני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24.8.15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נתתי דעתי לגזר דינה של כבוד סגנית הנשיא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השופטת קנטור בבית משפט השלום בחיפה בעניין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20815-01-15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סמי שושן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הפנה אותי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כבוד השופטת קנטור התייחסה לעובדה כי מדובר בשלוש עסקאות מכירת סמים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באותה פרשה שנידונה בפניה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לאותו קונה – הסוכן המשטרתי הסמוי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בפרק זמן של פחות מחודשיים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כשדרכי מימוש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שיטת הפעולה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אספקת הסמים ומקום הביצוע – 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ועל כן מצאה לנכון לקבוע כי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לגישתי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בעסקאות של 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קיים תכנון מוקדם מראש של סדרת 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כשהפרשי הזמן בהם הן נעשו משתרעים על מספר שבועות בין האחת לשניה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נדרשה בכל פעם היערכות חדשה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הזמנה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חדשה של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תכנון אחר ושונה של מקום המפגש – אין לראות בכל העסקאות יחד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אחד לפי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Calibri" w:hAnsi="Calibri" w:cs="Calibri"/>
          <w:spacing w:val="6"/>
        </w:rPr>
      </w:pPr>
      <w:r>
        <w:rPr>
          <w:spacing w:val="6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spacing w:val="6"/>
          <w:rtl w:val="true"/>
        </w:rPr>
        <w:tab/>
      </w:r>
      <w:r>
        <w:rPr>
          <w:spacing w:val="6"/>
          <w:rtl w:val="true"/>
        </w:rPr>
        <w:t>אמנם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נוסחו</w:t>
      </w:r>
      <w:r>
        <w:rPr>
          <w:rFonts w:cs="Times New Roman"/>
          <w:spacing w:val="6"/>
          <w:rtl w:val="true"/>
        </w:rPr>
        <w:t xml:space="preserve"> </w:t>
      </w:r>
      <w:hyperlink r:id="rId49">
        <w:r>
          <w:rPr>
            <w:rStyle w:val="Hyperlink"/>
            <w:color w:val="0000FF"/>
            <w:spacing w:val="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</w:rPr>
          <w:t>40</w:t>
        </w:r>
        <w:r>
          <w:rPr>
            <w:rStyle w:val="Hyperlink"/>
            <w:color w:val="0000FF"/>
            <w:spacing w:val="6"/>
            <w:u w:val="single"/>
            <w:rtl w:val="true"/>
          </w:rPr>
          <w:t>יג</w:t>
        </w:r>
      </w:hyperlink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ל</w:t>
      </w:r>
      <w:hyperlink r:id="rId50">
        <w:r>
          <w:rPr>
            <w:rStyle w:val="Hyperlink"/>
            <w:color w:val="0000FF"/>
            <w:spacing w:val="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u w:val="single"/>
            <w:rtl w:val="true"/>
          </w:rPr>
          <w:t>העונשין</w:t>
        </w:r>
      </w:hyperlink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נוסח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רחב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אשר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מאפשר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לערכאה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הדיונית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הגוזרת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דינו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הנאשם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מתחם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רחב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שיקול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דעת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וגמישות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בקביעה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האם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עסקינן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באירוע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אחד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במספר</w:t>
      </w:r>
      <w:r>
        <w:rPr>
          <w:rFonts w:cs="Times New Roman"/>
          <w:spacing w:val="6"/>
          <w:rtl w:val="true"/>
        </w:rPr>
        <w:t xml:space="preserve"> </w:t>
      </w:r>
      <w:r>
        <w:rPr>
          <w:spacing w:val="6"/>
          <w:rtl w:val="true"/>
        </w:rPr>
        <w:t>אירועים</w:t>
      </w:r>
      <w:r>
        <w:rPr>
          <w:spacing w:val="6"/>
          <w:rtl w:val="true"/>
        </w:rPr>
        <w:t xml:space="preserve">, </w:t>
      </w:r>
      <w:r>
        <w:rPr>
          <w:rFonts w:ascii="Arial" w:hAnsi="Arial" w:cs="Arial"/>
          <w:rtl w:val="true"/>
        </w:rPr>
        <w:t>אך מתחם שיקול הדעת נשען על שכל ישר והגיון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על ניסיון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 האחרון מלמדנו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 ניתן לכנות סדרה של אירועים נפרדים בתואר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תוכנית עבריינית אחת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ולקשרם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קשר הדוק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כאשר הללו לא תוכננו כלל ככאלה ולא התהוו ככאלה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800" w:start="8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להוראות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ייקבע במסגרת גזר דין זה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ניתן לגזור עונש נפרד לכל אירוע או עונש כולל לאירועים כולם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ראו לעניין זה</w:t>
      </w:r>
      <w:r>
        <w:rPr>
          <w:rFonts w:cs="Arial" w:ascii="Arial" w:hAnsi="Arial"/>
          <w:rtl w:val="true"/>
        </w:rPr>
        <w:t xml:space="preserve">: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מוחמד סעד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5.8.13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 w:before="240" w:after="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הפצתם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9.2.04</w:t>
      </w:r>
      <w:r>
        <w:rPr>
          <w:rtl w:val="true"/>
        </w:rPr>
        <w:t>]</w:t>
      </w:r>
    </w:p>
    <w:p>
      <w:pPr>
        <w:pStyle w:val="Style16"/>
        <w:spacing w:lineRule="auto" w:line="360"/>
        <w:ind w:hanging="436" w:start="720" w:end="0"/>
        <w:jc w:val="both"/>
        <w:rPr>
          <w:rFonts w:cs="David"/>
          <w:b/>
          <w:bCs/>
          <w:sz w:val="24"/>
        </w:rPr>
      </w:pPr>
      <w:r>
        <w:rPr>
          <w:rFonts w:cs="David"/>
          <w:sz w:val="24"/>
          <w:rtl w:val="true"/>
        </w:rPr>
        <w:tab/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מודעות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להשפעות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גופו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נפשו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המשתמש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השאר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יציאתו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ממעגל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התגברות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להנחות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בתי</w:t>
      </w:r>
      <w:r>
        <w:rPr>
          <w:rFonts w:cs="David"/>
          <w:b/>
          <w:bCs/>
          <w:position w:val="4"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המוטלים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בסמים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והוסיף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וקבע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מרביים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האמורים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לשקף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הדוחק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להדברת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הנגע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בתחילה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נקבע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המרבי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כמערערים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לעשר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מאסר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ובשנת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1979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הוחמר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והועמד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חמש</w:t>
      </w:r>
      <w:r>
        <w:rPr>
          <w:rFonts w:cs="David"/>
          <w:b/>
          <w:bCs/>
          <w:position w:val="4"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עשרה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מאסר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די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ובשנת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1989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הוסיף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בהעמידו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עשרים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מאסר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וכהוראת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</w:rPr>
        <w:t>19</w:t>
      </w:r>
      <w:r>
        <w:rPr>
          <w:b/>
          <w:b/>
          <w:bCs/>
          <w:color w:val="000000"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</w:t>
      </w:r>
      <w:hyperlink r:id="rId55"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חדש</w:t>
      </w:r>
      <w:r>
        <w:rPr>
          <w:rFonts w:cs="David"/>
          <w:b/>
          <w:bCs/>
          <w:sz w:val="24"/>
          <w:rtl w:val="true"/>
        </w:rPr>
        <w:t xml:space="preserve">], </w:t>
      </w:r>
      <w:r>
        <w:rPr>
          <w:rFonts w:cs="David"/>
          <w:b/>
          <w:b/>
          <w:bCs/>
          <w:sz w:val="24"/>
          <w:sz w:val="24"/>
          <w:rtl w:val="true"/>
        </w:rPr>
        <w:t>תשל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ג</w:t>
      </w:r>
      <w:r>
        <w:rPr>
          <w:rFonts w:cs="David"/>
          <w:b/>
          <w:bCs/>
          <w:sz w:val="24"/>
          <w:rtl w:val="true"/>
        </w:rPr>
        <w:t>-</w:t>
      </w:r>
      <w:r>
        <w:rPr>
          <w:rFonts w:cs="David"/>
          <w:b/>
          <w:bCs/>
          <w:sz w:val="24"/>
        </w:rPr>
        <w:t>1973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4"/>
          <w:rtl w:val="true"/>
        </w:rPr>
        <w:t>–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כיום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ראו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56"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4"/>
            <w:u w:val="single"/>
          </w:rPr>
          <w:t>4998/95</w:t>
        </w:r>
      </w:hyperlink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</w:rPr>
        <w:t>גומז</w:t>
      </w:r>
      <w:r>
        <w:rPr>
          <w:rFonts w:cs="David"/>
          <w:b/>
          <w:bCs/>
          <w:position w:val="4"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קרדוסו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rtl w:val="true"/>
        </w:rPr>
        <w:t>פרשת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קרדוסו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[</w:t>
      </w:r>
      <w:r>
        <w:rPr>
          <w:rFonts w:cs="David"/>
          <w:b/>
          <w:bCs/>
          <w:sz w:val="24"/>
        </w:rPr>
        <w:t>1</w:t>
      </w:r>
      <w:r>
        <w:rPr>
          <w:rFonts w:cs="David"/>
          <w:b/>
          <w:bCs/>
          <w:sz w:val="24"/>
          <w:rtl w:val="true"/>
        </w:rPr>
        <w:t xml:space="preserve">]), </w:t>
      </w:r>
      <w:r>
        <w:rPr>
          <w:rFonts w:cs="David"/>
          <w:b/>
          <w:b/>
          <w:bCs/>
          <w:sz w:val="24"/>
          <w:sz w:val="24"/>
          <w:rtl w:val="true"/>
        </w:rPr>
        <w:t>בעמ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Cs/>
          <w:sz w:val="24"/>
        </w:rPr>
        <w:t>787</w:t>
      </w:r>
      <w:r>
        <w:rPr>
          <w:rFonts w:cs="David"/>
          <w:b/>
          <w:bCs/>
          <w:sz w:val="24"/>
          <w:rtl w:val="true"/>
        </w:rPr>
        <w:t xml:space="preserve">. </w:t>
      </w:r>
    </w:p>
    <w:p>
      <w:pPr>
        <w:pStyle w:val="Style16"/>
        <w:spacing w:lineRule="auto" w:line="360"/>
        <w:ind w:hanging="0" w:start="720" w:end="0"/>
        <w:jc w:val="both"/>
        <w:rPr>
          <w:rFonts w:cs="David"/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בתי</w:t>
      </w:r>
      <w:r>
        <w:rPr>
          <w:rFonts w:cs="David"/>
          <w:b/>
          <w:bCs/>
          <w:position w:val="4"/>
          <w:sz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כהנחיית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והחמירו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הנגזרים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סוחרי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סמים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מלחמת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חורמה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כונתה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המלחמה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בסוחרי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הסמים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מלחמה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פשרות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כמלחמת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בעמלק</w:t>
      </w:r>
      <w:r>
        <w:rPr>
          <w:rFonts w:cs="David"/>
          <w:b/>
          <w:bCs/>
          <w:sz w:val="24"/>
          <w:rtl w:val="true"/>
        </w:rPr>
        <w:t>."</w:t>
      </w:r>
    </w:p>
    <w:p>
      <w:pPr>
        <w:pStyle w:val="Style16"/>
        <w:spacing w:lineRule="auto" w:line="360"/>
        <w:ind w:hanging="0" w:start="720" w:end="0"/>
        <w:jc w:val="both"/>
        <w:rPr>
          <w:rFonts w:cs="David"/>
          <w:sz w:val="24"/>
        </w:rPr>
      </w:pPr>
      <w:r>
        <w:rPr>
          <w:rFonts w:cs="David"/>
          <w:sz w:val="24"/>
          <w:sz w:val="24"/>
          <w:rtl w:val="true"/>
        </w:rPr>
        <w:t>ועוד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</w:rPr>
        <w:t>שמאי</w:t>
      </w:r>
      <w:r>
        <w:rPr>
          <w:rFonts w:cs="David"/>
          <w:b/>
          <w:bCs/>
          <w:sz w:val="24"/>
          <w:u w:val="single"/>
          <w:rtl w:val="true"/>
        </w:rPr>
        <w:t>,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כי</w:t>
      </w:r>
      <w:r>
        <w:rPr>
          <w:rFonts w:cs="David"/>
          <w:sz w:val="24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אמזלג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>.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211/09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אזולאי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</w:t>
      </w:r>
      <w:r>
        <w:rPr>
          <w:rtl w:val="true"/>
        </w:rPr>
        <w:t xml:space="preserve">, </w:t>
      </w:r>
      <w:r>
        <w:rPr/>
        <w:t>22.6.10</w:t>
      </w:r>
      <w:r>
        <w:rPr>
          <w:rtl w:val="true"/>
        </w:rPr>
        <w:t>];</w:t>
      </w:r>
    </w:p>
    <w:p>
      <w:pPr>
        <w:pStyle w:val="Normal"/>
        <w:spacing w:lineRule="auto" w:line="360"/>
        <w:ind w:start="720" w:end="0"/>
        <w:jc w:val="both"/>
        <w:rPr/>
      </w:pP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7070/03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זניד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5.9.05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293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585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800" w:start="80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0"/>
        </w:numPr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תעשה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Calibri" w:cs="David"/>
          <w:sz w:val="24"/>
          <w:szCs w:val="24"/>
        </w:rPr>
      </w:pPr>
      <w:r>
        <w:rPr>
          <w:rFonts w:eastAsia="Calibri"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ייקח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קביעת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בליבי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פשוטות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ומשקל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בבואי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לאביו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המאסיבית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שתהא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ובמיוחד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ספונטני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מראש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סניגורו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לחסוך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הנרגשים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שהקריב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חפצה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היסוס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בעיצומו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הכיוון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ונטישת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מעייניו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55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מבוטל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19.4.15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56</w:t>
      </w:r>
      <w:r>
        <w:rPr>
          <w:rFonts w:cs="David"/>
          <w:sz w:val="24"/>
          <w:szCs w:val="24"/>
          <w:rtl w:val="true"/>
        </w:rPr>
        <w:t>.</w:t>
        <w:tab/>
        <w:t xml:space="preserve">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מרחפת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נרתע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הפעלת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המותנה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Ruller42"/>
        <w:ind w:hanging="800" w:start="80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57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בחנתי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ניסוחו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שהוארך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בקריות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יושב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כערכאת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שנוסח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משהוארך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18702-02-13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hyperlink r:id="rId65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החודשים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59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הקונקרטיות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מתעלמת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מהאופן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6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מיעוטה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תופעל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הכספים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שנתפסו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4,920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140$</w:t>
      </w:r>
      <w:r>
        <w:rPr>
          <w:rtl w:val="true"/>
        </w:rPr>
        <w:t xml:space="preserve">,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/>
        <w:t>687253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5,105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/>
        <w:t>EURO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27.4.15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69-72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40" w:after="30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30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</w:p>
    <w:p>
      <w:pPr>
        <w:pStyle w:val="Normal"/>
        <w:spacing w:lineRule="auto" w:line="360" w:before="0" w:after="300"/>
        <w:ind w:firstLine="720"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300"/>
        <w:ind w:start="720" w:end="0"/>
        <w:jc w:val="both"/>
        <w:rPr>
          <w:rFonts w:ascii="Calibri" w:hAnsi="Calibri" w:eastAsia="Calibri" w:cs="Calibri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19.4.15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300"/>
        <w:ind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300"/>
        <w:ind w:firstLine="720" w:start="720"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30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 w:before="0" w:after="300"/>
        <w:ind w:hanging="720" w:start="1440" w:end="0"/>
        <w:jc w:val="both"/>
        <w:rPr>
          <w:rFonts w:ascii="Arial" w:hAnsi="Arial" w:eastAsia="Calibri" w:cs="Aria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 w:before="0" w:after="30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על ידי הנאשם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בסך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1.1.16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לתשלום מלוא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ישולמו שני תשלומים במועדם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יעמוד כל סכום הקנס לתשלום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300"/>
        <w:ind w:hanging="720" w:start="1440" w:end="0"/>
        <w:jc w:val="both"/>
        <w:rPr>
          <w:rFonts w:ascii="Calibri" w:hAnsi="Calibri" w:cs="Calibri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סניגורו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משה אביטל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מעיין אורן רימון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וינשטיין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1108-05-15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שמואל בן יאיר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תבנית רגיל תו"/>
    <w:qFormat/>
    <w:rPr>
      <w:rFonts w:ascii="Times" w:hAnsi="Times" w:cs="Times"/>
      <w:sz w:val="26"/>
      <w:szCs w:val="26"/>
      <w:lang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Ruller41">
    <w:name w:val="Ruller4 אלפביתי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תבנית רגיל"/>
    <w:basedOn w:val="Normal"/>
    <w:qFormat/>
    <w:pPr>
      <w:spacing w:lineRule="auto" w:line="360"/>
      <w:jc w:val="both"/>
    </w:pPr>
    <w:rPr>
      <w:rFonts w:ascii="Times" w:hAnsi="Times" w:cs="Times New Roman"/>
      <w:sz w:val="26"/>
      <w:szCs w:val="26"/>
      <w:lang w:val="en-US"/>
    </w:rPr>
  </w:style>
  <w:style w:type="paragraph" w:styleId="Style16">
    <w:name w:val="כללי"/>
    <w:basedOn w:val="Normal"/>
    <w:qFormat/>
    <w:pPr>
      <w:overflowPunct w:val="false"/>
      <w:autoSpaceDE w:val="false"/>
      <w:spacing w:lineRule="exact" w:line="284" w:before="0" w:after="240"/>
      <w:ind w:firstLine="284" w:start="0" w:end="0"/>
      <w:jc w:val="both"/>
    </w:pPr>
    <w:rPr>
      <w:rFonts w:cs="FrankRuehl"/>
      <w:sz w:val="20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43">
    <w:name w:val="Ruller4 אלפביתי"/>
    <w:basedOn w:val="Ruller42"/>
    <w:next w:val="Ruller42"/>
    <w:qFormat/>
    <w:pPr>
      <w:numPr>
        <w:ilvl w:val="0"/>
        <w:numId w:val="1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31.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55" TargetMode="External"/><Relationship Id="rId12" Type="http://schemas.openxmlformats.org/officeDocument/2006/relationships/hyperlink" Target="http://www.nevo.co.il/law/70301/56.b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/40jc.a" TargetMode="External"/><Relationship Id="rId16" Type="http://schemas.openxmlformats.org/officeDocument/2006/relationships/hyperlink" Target="http://www.nevo.co.il/law/70301/40jc.b" TargetMode="External"/><Relationship Id="rId17" Type="http://schemas.openxmlformats.org/officeDocument/2006/relationships/hyperlink" Target="http://www.nevo.co.il/law/70301/f40e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11303307" TargetMode="External"/><Relationship Id="rId22" Type="http://schemas.openxmlformats.org/officeDocument/2006/relationships/hyperlink" Target="http://www.nevo.co.il/case/5444673" TargetMode="External"/><Relationship Id="rId23" Type="http://schemas.openxmlformats.org/officeDocument/2006/relationships/hyperlink" Target="http://www.nevo.co.il/case/6019079" TargetMode="External"/><Relationship Id="rId24" Type="http://schemas.openxmlformats.org/officeDocument/2006/relationships/hyperlink" Target="http://www.nevo.co.il/case/5920357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18807159" TargetMode="External"/><Relationship Id="rId27" Type="http://schemas.openxmlformats.org/officeDocument/2006/relationships/hyperlink" Target="http://www.nevo.co.il/case/17939654" TargetMode="External"/><Relationship Id="rId28" Type="http://schemas.openxmlformats.org/officeDocument/2006/relationships/hyperlink" Target="http://www.nevo.co.il/case/17921563" TargetMode="External"/><Relationship Id="rId29" Type="http://schemas.openxmlformats.org/officeDocument/2006/relationships/hyperlink" Target="http://www.nevo.co.il/case/5444673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/40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i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f40e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case/5569069" TargetMode="External"/><Relationship Id="rId46" Type="http://schemas.openxmlformats.org/officeDocument/2006/relationships/hyperlink" Target="http://www.nevo.co.il/case/18807159" TargetMode="External"/><Relationship Id="rId47" Type="http://schemas.openxmlformats.org/officeDocument/2006/relationships/hyperlink" Target="http://www.nevo.co.il/law/70301/40jc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jc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c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573417" TargetMode="External"/><Relationship Id="rId54" Type="http://schemas.openxmlformats.org/officeDocument/2006/relationships/hyperlink" Target="http://www.nevo.co.il/case/5786821" TargetMode="External"/><Relationship Id="rId55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case/5988308" TargetMode="External"/><Relationship Id="rId57" Type="http://schemas.openxmlformats.org/officeDocument/2006/relationships/hyperlink" Target="http://www.nevo.co.il/case/5698919" TargetMode="External"/><Relationship Id="rId58" Type="http://schemas.openxmlformats.org/officeDocument/2006/relationships/hyperlink" Target="http://www.nevo.co.il/case/6094597" TargetMode="External"/><Relationship Id="rId59" Type="http://schemas.openxmlformats.org/officeDocument/2006/relationships/hyperlink" Target="http://www.nevo.co.il/law/70301/40i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6019079" TargetMode="External"/><Relationship Id="rId64" Type="http://schemas.openxmlformats.org/officeDocument/2006/relationships/hyperlink" Target="http://www.nevo.co.il/law/70301/55" TargetMode="External"/><Relationship Id="rId65" Type="http://schemas.openxmlformats.org/officeDocument/2006/relationships/hyperlink" Target="http://www.nevo.co.il/law/70301/56.b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4216" TargetMode="External"/><Relationship Id="rId69" Type="http://schemas.openxmlformats.org/officeDocument/2006/relationships/hyperlink" Target="http://www.nevo.co.il/law/4216/31.6" TargetMode="External"/><Relationship Id="rId70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law/4216/31.6" TargetMode="External"/><Relationship Id="rId72" Type="http://schemas.openxmlformats.org/officeDocument/2006/relationships/hyperlink" Target="http://www.nevo.co.il/law/70301/40jc.b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4216" TargetMode="External"/><Relationship Id="rId75" Type="http://schemas.openxmlformats.org/officeDocument/2006/relationships/hyperlink" Target="http://www.nevo.co.il/law/4216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2016-06-19T08:08:00Z</dcterms:created>
  <dc:creator> </dc:creator>
  <dc:description/>
  <cp:keywords/>
  <dc:language>en-IL</dc:language>
  <cp:lastModifiedBy>run</cp:lastModifiedBy>
  <dcterms:modified xsi:type="dcterms:W3CDTF">2016-06-19T08:08:00Z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שמואל בן יאיר</vt:lpwstr>
  </property>
  <property fmtid="{D5CDD505-2E9C-101B-9397-08002B2CF9AE}" pid="4" name="CASESLISTTMP1">
    <vt:lpwstr>11303307;5444673:2;6019079:2;5920357;13093721:2;18807159:2;17939654;17921563;5569069;5573417;5786821;5988308;5698919;6094597</vt:lpwstr>
  </property>
  <property fmtid="{D5CDD505-2E9C-101B-9397-08002B2CF9AE}" pid="5" name="CITY">
    <vt:lpwstr>חי'</vt:lpwstr>
  </property>
  <property fmtid="{D5CDD505-2E9C-101B-9397-08002B2CF9AE}" pid="6" name="DATE">
    <vt:lpwstr>20151208</vt:lpwstr>
  </property>
  <property fmtid="{D5CDD505-2E9C-101B-9397-08002B2CF9AE}" pid="7" name="ISABSTRACT">
    <vt:lpwstr>Y</vt:lpwstr>
  </property>
  <property fmtid="{D5CDD505-2E9C-101B-9397-08002B2CF9AE}" pid="8" name="JUDGE">
    <vt:lpwstr>אורית וינשטיין</vt:lpwstr>
  </property>
  <property fmtid="{D5CDD505-2E9C-101B-9397-08002B2CF9AE}" pid="9" name="LAWLISTTMP1">
    <vt:lpwstr>4216/013;019a;031.6:2</vt:lpwstr>
  </property>
  <property fmtid="{D5CDD505-2E9C-101B-9397-08002B2CF9AE}" pid="10" name="LAWLISTTMP2">
    <vt:lpwstr>70301/040b;040c;040i:2;40ja:2;040d;f40e;40jc.a;40jc;40jc.b:2;055;056.b</vt:lpwstr>
  </property>
  <property fmtid="{D5CDD505-2E9C-101B-9397-08002B2CF9AE}" pid="11" name="NEWPARTA">
    <vt:lpwstr>1108</vt:lpwstr>
  </property>
  <property fmtid="{D5CDD505-2E9C-101B-9397-08002B2CF9AE}" pid="12" name="NEWPARTB">
    <vt:lpwstr>05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390020151208</vt:lpwstr>
  </property>
  <property fmtid="{D5CDD505-2E9C-101B-9397-08002B2CF9AE}" pid="18" name="TYPE_N_DATE">
    <vt:lpwstr>39020151208</vt:lpwstr>
  </property>
  <property fmtid="{D5CDD505-2E9C-101B-9397-08002B2CF9AE}" pid="19" name="WORDNUMPAGES">
    <vt:lpwstr>17</vt:lpwstr>
  </property>
</Properties>
</file>