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מרץ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2019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11098-06-18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אלקורעאן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3652/18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מתמחה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טייב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סאלח אלקורעאן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אוחיון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</w:rPr>
          <w:t>186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rtl w:val="true"/>
          </w:rPr>
          <w:t>פרק ח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שלפני נותן את הדין בגין עבירה של אחזקת נשק ותחמושת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 לעובדות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בהם הודה הנאשם כפי שהן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נתפס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23/05/18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מחזיק רובה סער מסוג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גליל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שמספרו הסידורי נמחק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וכן מחסניות ותחמושת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שלא כדין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הודאת הנאשם נמסרה </w:t>
      </w:r>
      <w:r>
        <w:rPr>
          <w:rFonts w:ascii="Calibri" w:hAnsi="Calibri" w:cs="Calibri"/>
          <w:u w:val="single"/>
          <w:rtl w:val="true"/>
        </w:rPr>
        <w:t>שלא</w:t>
      </w:r>
      <w:r>
        <w:rPr>
          <w:rFonts w:ascii="Calibri" w:hAnsi="Calibri" w:cs="Calibri"/>
          <w:rtl w:val="true"/>
        </w:rPr>
        <w:t xml:space="preserve"> במסגרת הסדר טיעון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יצוין 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בפרוטוקול מיום </w:t>
      </w:r>
      <w:r>
        <w:rPr>
          <w:rFonts w:cs="Calibri" w:ascii="Calibri" w:hAnsi="Calibri"/>
        </w:rPr>
        <w:t>28/11/18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נרשם בטעות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ההודאה נמסרה במסגרת הסדר טיעון וכן נרשם סעיף עבירה שגוי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בד בבד עם מתן גזר הדין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ניתנה החלטה מתקנת לעניין זה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ראיות לעונש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);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סליק</w:t>
      </w:r>
      <w:r>
        <w:rPr>
          <w:rtl w:val="true"/>
        </w:rPr>
        <w:t xml:space="preserve">),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באיסכורית</w:t>
      </w:r>
      <w:r>
        <w:rPr>
          <w:rtl w:val="true"/>
        </w:rPr>
        <w:t xml:space="preserve">,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העצים</w:t>
      </w:r>
      <w:r>
        <w:rPr>
          <w:rtl w:val="true"/>
        </w:rPr>
        <w:t xml:space="preserve">'.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כמטבח</w:t>
      </w:r>
      <w:r>
        <w:rPr>
          <w:rtl w:val="true"/>
        </w:rPr>
        <w:t xml:space="preserve">,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דיקט</w:t>
      </w:r>
      <w:r>
        <w:rPr>
          <w:rtl w:val="true"/>
        </w:rPr>
        <w:t xml:space="preserve">") </w:t>
      </w:r>
      <w:r>
        <w:rPr>
          <w:rtl w:val="true"/>
        </w:rPr>
        <w:t>שהותקן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סינתטי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זכויותיה</w:t>
      </w:r>
      <w:r>
        <w:rPr>
          <w:rtl w:val="true"/>
        </w:rPr>
        <w:t xml:space="preserve">. </w:t>
      </w:r>
      <w:r>
        <w:rPr>
          <w:rtl w:val="true"/>
        </w:rPr>
        <w:t>הרעיה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 טענותיה לעונש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/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וכן השלימה אותן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הדגישה פוטנציאל הקטילה וההרס הטמון בהחזקת נשק שלא כדין ואת הסיכון הנשקף לשלום הציבור בשל 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עתרה למתחם 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שינוע בין מאסר בפועל למשך שנתיים למחצה לבין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רכיבי ענישה נוספים של 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עותרת להשית על הנאשם עונש על הצד הבינוני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גבוה של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לנוכח עברו הפלילי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הן לנוכח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בנשק שהוחזק בצירוף תחמושת ומחסניות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מוכן לשימוש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הן לאור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נסיבות החזקת הנשק מלמדות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שעבר בין ידיהם של פורעי 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מתחם הענישה אליו טענה התביעה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מופרז ואינו תואם את פסיקת בתי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ראיה על כך שהנאשם קשור לאירוע הקודם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נערך שימוש בנשק בירי על אדם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הפלילי של הנאשם אינו מכביד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ביקשה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בית המשפט ייקח בחשבון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שאיבד שניים מילדיו בשריפה וכן את הודאתו באשמה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בדברו האחרון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הצר הנאשם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מסר את הנשק למשטרה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התכוון לעשות עמו דבר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דיון והכרעה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מאובטחת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מנעולים</w:t>
      </w:r>
      <w:r>
        <w:rPr>
          <w:rtl w:val="true"/>
        </w:rPr>
        <w:t xml:space="preserve">),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עיוורת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הישוב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כדין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זאת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ראשוני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 xml:space="preserve">... </w:t>
      </w:r>
      <w:r>
        <w:rPr>
          <w:rFonts w:cs="Aharoni"/>
          <w:rtl w:val="true"/>
        </w:rPr>
        <w:t>התגלגלותם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ועוינים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Fonts w:cs="Aharoni"/>
          <w:rtl w:val="true"/>
        </w:rPr>
        <w:t>ולאלו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יובילו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ודוק</w:t>
      </w:r>
      <w:r>
        <w:rPr>
          <w:rFonts w:cs="Aharoni"/>
          <w:rtl w:val="true"/>
        </w:rPr>
        <w:t xml:space="preserve">: </w:t>
      </w:r>
      <w:r>
        <w:rPr>
          <w:rFonts w:cs="Aharoni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כדין</w:t>
      </w:r>
      <w:r>
        <w:rPr>
          <w:rFonts w:cs="Aharoni"/>
          <w:rtl w:val="true"/>
        </w:rPr>
        <w:t xml:space="preserve">, </w:t>
      </w:r>
      <w:r>
        <w:rPr>
          <w:rFonts w:cs="Aharoni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מחזיק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למטרת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ביצוען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אחרות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סיכון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שימוש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ופחד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[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הסיכון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מחייבת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וזאת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המדובר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לכאורה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שמנהל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נורמטיבי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לחובתו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הראשונה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דומות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העבריין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haroni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Fonts w:cs="Aharoni"/>
          <w:u w:val="single"/>
          <w:rtl w:val="true"/>
        </w:rPr>
        <w:t>ככלל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לאסור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המבצעים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זו</w:t>
      </w:r>
      <w:r>
        <w:rPr>
          <w:rFonts w:cs="Aharoni"/>
          <w:u w:val="single"/>
          <w:rtl w:val="true"/>
        </w:rPr>
        <w:t xml:space="preserve">, </w:t>
      </w:r>
      <w:r>
        <w:rPr>
          <w:rFonts w:cs="Aharoni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ראשונה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ובריח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והמעשה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[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23419-01-17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זניד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 </w:t>
      </w:r>
      <w:r>
        <w:rPr>
          <w:rtl w:val="true"/>
        </w:rPr>
        <w:t>כדורים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</w:rPr>
        <w:t>M16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המתחמים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שנקבעו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נמוכים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7544-11-16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אלאסד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22885-05-17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אלאסד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לאדריכלות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32560-12-16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אלסאריעה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כשכלי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בשבתו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לערעורים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דחה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הרכב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הנשיאה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יפה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כץ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חומרת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שמצא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חרף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אינדיקציה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בנשק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צעיר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  <w:r>
        <w:rPr>
          <w:b/>
          <w:bCs/>
          <w:u w:val="single"/>
          <w:rtl w:val="true"/>
        </w:rPr>
        <w:t xml:space="preserve">) </w:t>
      </w:r>
      <w:r>
        <w:rPr>
          <w:rFonts w:eastAsia="David" w:ascii="David" w:hAnsi="David"/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ואינטרס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השיקום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נדחים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האינטרס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הציבורי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 </w:t>
      </w:r>
      <w:r>
        <w:rPr/>
        <w:t>9.16</w:t>
      </w:r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07/08/16</w:t>
      </w:r>
      <w:r>
        <w:rPr>
          <w:rtl w:val="true"/>
        </w:rPr>
        <w:t xml:space="preserve">)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במיגורן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הוצבה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tl w:val="true"/>
        </w:rPr>
        <w:t xml:space="preserve">,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;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מזומנות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/>
        <w:t>563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>מתחמים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נפסקו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לאחרונה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במספר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גזרי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שניתנו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דומות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hyperlink r:id="rId21">
        <w:r>
          <w:rPr>
            <w:rStyle w:val="Hyperlink"/>
            <w:rFonts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.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eastAsia="Calibri"/>
            <w:color w:val="0000FF"/>
            <w:u w:val="single"/>
          </w:rPr>
          <w:t>30406-04-16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אבו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עאמר</w:t>
      </w:r>
      <w:r>
        <w:rPr>
          <w:rFonts w:eastAsia="Calibri"/>
          <w:b/>
          <w:bCs/>
          <w:rtl w:val="true"/>
        </w:rPr>
        <w:t xml:space="preserve">; </w:t>
      </w:r>
      <w:hyperlink r:id="rId22">
        <w:r>
          <w:rPr>
            <w:rStyle w:val="Hyperlink"/>
            <w:rFonts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.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eastAsia="Calibri"/>
            <w:color w:val="0000FF"/>
            <w:u w:val="single"/>
          </w:rPr>
          <w:t>65912-01-18</w:t>
        </w:r>
      </w:hyperlink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אבו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מדעם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ואח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גזרי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פורסמו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במאגרים</w:t>
      </w:r>
      <w:r>
        <w:rPr>
          <w:rFonts w:eastAsia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יועמד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הסתברותה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עצמתה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תודעה</w:t>
      </w:r>
      <w:r>
        <w:rPr>
          <w:rtl w:val="true"/>
        </w:rPr>
        <w:t xml:space="preserve">. </w:t>
      </w:r>
      <w:r>
        <w:rPr>
          <w:rtl w:val="true"/>
        </w:rPr>
        <w:t>הנגישות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;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ולרווחתה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אלסראעיה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עיצום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);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;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tl w:val="true"/>
        </w:rPr>
        <w:t xml:space="preserve">;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;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hyperlink r:id="rId24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סימן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30.06.2019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יחולטו</w:t>
      </w:r>
      <w:r>
        <w:rPr>
          <w:rtl w:val="true"/>
        </w:rPr>
        <w:t>/</w:t>
      </w:r>
      <w:r>
        <w:rPr>
          <w:rtl w:val="true"/>
        </w:rPr>
        <w:t>יושמדו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התובעת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אסיל אמון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קאסם והנאשם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הובא על ידי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הסניגור שוחרר מהתייצבות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המזכירות תשלח עותק גזר הדין לסניגור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         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10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11098-06-18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סאלח אלקורעאן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27871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hCaS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6913730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case/22112345" TargetMode="External"/><Relationship Id="rId15" Type="http://schemas.openxmlformats.org/officeDocument/2006/relationships/hyperlink" Target="http://www.nevo.co.il/case/22001830" TargetMode="External"/><Relationship Id="rId16" Type="http://schemas.openxmlformats.org/officeDocument/2006/relationships/hyperlink" Target="http://www.nevo.co.il/case/22607175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1778276" TargetMode="External"/><Relationship Id="rId21" Type="http://schemas.openxmlformats.org/officeDocument/2006/relationships/hyperlink" Target="http://www.nevo.co.il/case/21303448" TargetMode="External"/><Relationship Id="rId22" Type="http://schemas.openxmlformats.org/officeDocument/2006/relationships/hyperlink" Target="http://www.nevo.co.il/case/2358844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hCaS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86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2020-09-07T12:32:00Z</dcterms:created>
  <dc:creator> </dc:creator>
  <dc:description/>
  <cp:keywords/>
  <dc:language>en-IL</dc:language>
  <cp:lastModifiedBy>yafit</cp:lastModifiedBy>
  <dcterms:modified xsi:type="dcterms:W3CDTF">2020-09-07T12:32:00Z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סאלח אלקורעאן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24278714;16913730;7791493:2;5852404;6000182;22112345;22001830;22607175;21778276;21303448;23588441</vt:lpwstr>
  </property>
  <property fmtid="{D5CDD505-2E9C-101B-9397-08002B2CF9AE}" pid="9" name="CITY">
    <vt:lpwstr>ב"ש</vt:lpwstr>
  </property>
  <property fmtid="{D5CDD505-2E9C-101B-9397-08002B2CF9AE}" pid="10" name="DATE">
    <vt:lpwstr>20190311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70301/144.a:3;144.b;hCaS;186</vt:lpwstr>
  </property>
  <property fmtid="{D5CDD505-2E9C-101B-9397-08002B2CF9AE}" pid="15" name="LAWYER">
    <vt:lpwstr>יוסף טייב;אייל אוחיון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11098</vt:lpwstr>
  </property>
  <property fmtid="{D5CDD505-2E9C-101B-9397-08002B2CF9AE}" pid="22" name="NEWPARTB">
    <vt:lpwstr>06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380020190311</vt:lpwstr>
  </property>
  <property fmtid="{D5CDD505-2E9C-101B-9397-08002B2CF9AE}" pid="34" name="TYPE_N_DATE">
    <vt:lpwstr>38020190311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