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11170-04-12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עמר</w:t>
            </w:r>
            <w:r>
              <w:rPr>
                <w:b/>
                <w:bCs/>
                <w:sz w:val="22"/>
                <w:szCs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ואח</w:t>
            </w:r>
            <w:r>
              <w:rPr>
                <w:b/>
                <w:bCs/>
                <w:sz w:val="22"/>
                <w:szCs w:val="22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24.9.2012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540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לפני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כהן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גב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רנדה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בדארנה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rtl w:val="true"/>
                <w:lang w:eastAsia="he-IL"/>
              </w:rPr>
              <w:t>[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פמח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</w:t>
            </w:r>
            <w:r>
              <w:rPr>
                <w:sz w:val="22"/>
                <w:szCs w:val="22"/>
                <w:rtl w:val="true"/>
                <w:lang w:eastAsia="he-IL"/>
              </w:rPr>
              <w:t>]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before="600" w:after="0"/>
              <w:ind w:end="0"/>
              <w:jc w:val="center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before="240" w:after="0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  <w:p>
            <w:pPr>
              <w:pStyle w:val="Normal"/>
              <w:suppressLineNumbers/>
              <w:overflowPunct w:val="false"/>
              <w:autoSpaceDE w:val="false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1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אודי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מאיר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עמר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19.7.1991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ת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xxxxxxxxx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/>
            </w:pPr>
            <w:r>
              <w:rPr>
                <w:rFonts w:cs="Times New Roman"/>
                <w:b/>
                <w:bCs/>
                <w:sz w:val="22"/>
                <w:rtl w:val="true"/>
                <w:lang w:eastAsia="he-IL"/>
              </w:rPr>
              <w:t xml:space="preserve">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עוה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סימי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פלג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קימלוב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ושרית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גולן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2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ניסן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שמעון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דדון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b/>
                <w:bCs/>
                <w:sz w:val="22"/>
                <w:rtl w:val="true"/>
                <w:lang w:eastAsia="he-IL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2.5.1992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ת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xxxxxxxxx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/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יובל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זמר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rFonts w:cs="Times New Roman"/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הנאשמים</w:t>
            </w:r>
          </w:p>
        </w:tc>
      </w:tr>
    </w:tbl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2"/>
        </w:rPr>
      </w:pPr>
      <w:r>
        <w:rPr>
          <w:rFonts w:cs="FrankRuehl" w:ascii="FrankRuehl" w:hAnsi="FrankRuehl"/>
          <w:szCs w:val="22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szCs w:val="28"/>
        </w:rPr>
      </w:pPr>
      <w:r>
        <w:rPr>
          <w:rFonts w:cs="David" w:ascii="David" w:hAnsi="David"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bookmarkStart w:id="10" w:name="PsakDin"/>
      <w:bookmarkEnd w:id="10"/>
      <w:r>
        <w:rPr>
          <w:rFonts w:ascii="David" w:hAnsi="David"/>
          <w:b/>
          <w:b/>
          <w:bCs/>
          <w:szCs w:val="28"/>
          <w:rtl w:val="true"/>
        </w:rPr>
        <w:t>גזר דין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3" w:name="ABSTRACT_START"/>
      <w:bookmarkEnd w:id="13"/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16.2.2012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הצטיידו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ושדדו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סניף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51,800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4.3.2012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וגנבו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4.3.2012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וגנב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שתי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וגניבה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הן העבירות נשוא האישום השלישי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וטענותיהם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והמשפחתיות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גמילה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בכעסים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בוסרי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שילוב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ליצירת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ולהפנמת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חיצוניים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ולדעת</w:t>
      </w:r>
      <w:r>
        <w:rPr>
          <w:rFonts w:ascii="David" w:hAnsi="David"/>
          <w:rtl w:val="true"/>
        </w:rPr>
        <w:t xml:space="preserve"> קצינת 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תיבדק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6.9.2011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ועומדים </w:t>
      </w:r>
      <w:r>
        <w:rPr>
          <w:rFonts w:ascii="David" w:hAnsi="David"/>
          <w:rtl w:val="true"/>
        </w:rPr>
        <w:t>מעליו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24.10.2011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ככל הנראה לאחר שנוכתה התקופה בה היה נתון במעצר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</w:t>
      </w:r>
      <w:r>
        <w:rPr>
          <w:rFonts w:ascii="David" w:hAnsi="David"/>
          <w:rtl w:val="true"/>
        </w:rPr>
        <w:t xml:space="preserve">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סוציאלית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דרגן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המטפלת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דרגן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התמוטטותה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אחיו התאום של 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דרגן ביקשה למעשה </w:t>
      </w:r>
      <w:r>
        <w:rPr>
          <w:rFonts w:ascii="David" w:hAnsi="David"/>
          <w:rtl w:val="true"/>
        </w:rPr>
        <w:t>בדבריה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התמודד עם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דרגן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העכשוו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לנצלה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עתה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ולהשתנות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והרצתה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תמציתו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בסניף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ורכושו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ולהשקפתה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הטרגדיה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וחרטתו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למוטב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ההימורים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שרבצו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9.7.2012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עניינם</w:t>
      </w:r>
      <w:r>
        <w:rPr>
          <w:rFonts w:ascii="David" w:hAnsi="David"/>
          <w:rtl w:val="true"/>
        </w:rPr>
        <w:t xml:space="preserve"> </w:t>
      </w:r>
      <w:hyperlink r:id="rId6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בהבניית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ובהצטיידות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המפורטות באישום השלישי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המפורטות באישום השני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לכאורה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המופלגת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מסחרי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הומה</w:t>
      </w:r>
      <w:r>
        <w:rPr>
          <w:rFonts w:ascii="David" w:hAnsi="David"/>
          <w:rtl w:val="true"/>
        </w:rPr>
        <w:t xml:space="preserve">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שהתנהגותם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לעביר</w:t>
      </w:r>
      <w:r>
        <w:rPr>
          <w:rFonts w:ascii="David" w:hAnsi="David"/>
          <w:rtl w:val="true"/>
        </w:rPr>
        <w:t xml:space="preserve">ת השוד </w:t>
      </w:r>
      <w:r>
        <w:rPr>
          <w:rFonts w:ascii="David" w:hAnsi="David"/>
          <w:rtl w:val="true"/>
        </w:rPr>
        <w:t>שהנאש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</w:t>
      </w:r>
      <w:hyperlink r:id="rId7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4177/06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מיישריף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>")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113" w:start="1247" w:end="567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מבטאת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תפישות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מבטאת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שמכתיב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ההתנהלות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להתרגש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אזרחים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מוגנים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>."</w:t>
      </w:r>
    </w:p>
    <w:p>
      <w:pPr>
        <w:pStyle w:val="Normal"/>
        <w:spacing w:lineRule="auto" w:line="360"/>
        <w:ind w:hanging="113" w:start="1247" w:end="567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פקידי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ועובדי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סוכנויות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דואר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מופקדים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חם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  <w:sz w:val="22"/>
        </w:rPr>
      </w:pPr>
      <w:r>
        <w:rPr>
          <w:rFonts w:cs="David" w:ascii="David" w:hAnsi="David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הצריכות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ביחס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אודי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מאיר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עמר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xxxxxxxxx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134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שמונה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שנתיים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14.3.2012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ביחס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ניסן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שמעון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דדון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xxxxxxxxx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134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</w:rPr>
        <w:t>.5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חצי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שנתיים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14.3.2012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>והודע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לנאשמים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זכאים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לערער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פסק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hanging="567" w:start="567"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24.9.2012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794" w:top="1701" w:footer="720" w:bottom="170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11170-04-12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אודי בן מאיר עמר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שמות"/>
    <w:basedOn w:val="Normal"/>
    <w:qFormat/>
    <w:pPr>
      <w:suppressLineNumbers/>
      <w:overflowPunct w:val="false"/>
      <w:autoSpaceDE w:val="false"/>
      <w:textAlignment w:val="baseline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402" TargetMode="External"/><Relationship Id="rId5" Type="http://schemas.openxmlformats.org/officeDocument/2006/relationships/hyperlink" Target="http://www.nevo.co.il/law/70301/40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942308" TargetMode="External"/><Relationship Id="rId8" Type="http://schemas.openxmlformats.org/officeDocument/2006/relationships/hyperlink" Target="http://www.nevo.co.il/law/70301/40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406" TargetMode="External"/><Relationship Id="rId12" Type="http://schemas.openxmlformats.org/officeDocument/2006/relationships/hyperlink" Target="http://www.nevo.co.il/law/70301/40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/406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2016-03-27T15:00:00Z</dcterms:created>
  <dc:creator> </dc:creator>
  <dc:description/>
  <cp:keywords/>
  <dc:language>en-IL</dc:language>
  <cp:lastModifiedBy>run</cp:lastModifiedBy>
  <dcterms:modified xsi:type="dcterms:W3CDTF">2016-03-27T15:00:00Z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אודי בן מאיר עמר;ניסן בן שמעון דדון;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5942308</vt:lpwstr>
  </property>
  <property fmtid="{D5CDD505-2E9C-101B-9397-08002B2CF9AE}" pid="9" name="CITY">
    <vt:lpwstr>חי'</vt:lpwstr>
  </property>
  <property fmtid="{D5CDD505-2E9C-101B-9397-08002B2CF9AE}" pid="10" name="DATE">
    <vt:lpwstr>20120924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</vt:lpwstr>
  </property>
  <property fmtid="{D5CDD505-2E9C-101B-9397-08002B2CF9AE}" pid="14" name="LAWLISTTMP1">
    <vt:lpwstr>70301/402:2;144:2;406:2</vt:lpwstr>
  </property>
  <property fmtid="{D5CDD505-2E9C-101B-9397-08002B2CF9AE}" pid="15" name="LAWYER">
    <vt:lpwstr>רנדה בדארנה;סימי פלג קימלוב ;שרית גולן ;יובל זמר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11170</vt:lpwstr>
  </property>
  <property fmtid="{D5CDD505-2E9C-101B-9397-08002B2CF9AE}" pid="22" name="NEWPARTB">
    <vt:lpwstr>04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390020120924</vt:lpwstr>
  </property>
  <property fmtid="{D5CDD505-2E9C-101B-9397-08002B2CF9AE}" pid="34" name="TYPE_N_DATE">
    <vt:lpwstr>39020120924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