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2"/>
        <w:gridCol w:w="365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11362-10-15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זרתוסטרא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start"/>
        <w:tblInd w:w="5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53"/>
        <w:gridCol w:w="4020"/>
        <w:gridCol w:w="3647"/>
      </w:tblGrid>
      <w:tr>
        <w:trPr>
          <w:trHeight w:val="295" w:hRule="atLeast"/>
        </w:trPr>
        <w:tc>
          <w:tcPr>
            <w:tcW w:w="115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לפני </w:t>
            </w:r>
          </w:p>
        </w:tc>
        <w:tc>
          <w:tcPr>
            <w:tcW w:w="766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מרדכי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5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402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64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5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020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רוסו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פמת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א</w:t>
            </w:r>
          </w:p>
        </w:tc>
        <w:tc>
          <w:tcPr>
            <w:tcW w:w="36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5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766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53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  <w:tc>
          <w:tcPr>
            <w:tcW w:w="402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נסיך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זרתוסטרא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64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15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020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קהן</w:t>
            </w:r>
          </w:p>
        </w:tc>
        <w:tc>
          <w:tcPr>
            <w:tcW w:w="364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firstLine="1" w:start="90" w:end="0"/>
        <w:jc w:val="start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פתח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425" w:start="509" w:end="0"/>
        <w:jc w:val="both"/>
        <w:rPr>
          <w:rFonts w:ascii="Calibri" w:hAnsi="Calibri" w:cs="Calibri"/>
        </w:rPr>
      </w:pPr>
      <w:bookmarkStart w:id="9" w:name="ABSTRACT_START"/>
      <w:bookmarkEnd w:id="9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4">
        <w:r>
          <w:rPr>
            <w:rStyle w:val="Hyperlink"/>
            <w:rFonts w:ascii="Calibri" w:hAnsi="Calibri" w:cs="Calibri"/>
            <w:color w:val="0000FF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144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ובעבירה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תחמושת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144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425"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הודאת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firstLine="16" w:start="74" w:end="0"/>
        <w:jc w:val="both"/>
        <w:rPr>
          <w:rFonts w:ascii="Calibri" w:hAnsi="Calibri" w:cs="Calibri"/>
          <w:b/>
          <w:bCs/>
          <w:u w:val="single"/>
        </w:rPr>
      </w:pPr>
      <w:bookmarkStart w:id="10" w:name="ABSTRACT_END"/>
      <w:bookmarkEnd w:id="10"/>
      <w:r>
        <w:rPr>
          <w:rFonts w:ascii="Calibri" w:hAnsi="Calibri" w:cs="Calibri"/>
          <w:b/>
          <w:b/>
          <w:bCs/>
          <w:u w:val="single"/>
          <w:rtl w:val="true"/>
        </w:rPr>
        <w:t>עובדות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המתוקן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20.9.15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19:16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FN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האקדח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ובתוכו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קליבר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חיון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ולדמן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בהגיעם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מרכבם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רגע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זעק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יורה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19.5.16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בילדותו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המוקדמת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הוּצא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הרווחה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בתפקוד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אומץ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ובודד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המאמצת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2015-2004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ורכוש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בילדותו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המוקדמת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התפתחותו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הבעייתית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המאמצת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ומיטיבות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וניסיונות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פתוחות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2009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בשיחה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סוציאלית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בראשית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נמסר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ומאפשרת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מהטיפול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באגף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בתוכנית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דומיננטי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לתוכנית</w:t>
      </w:r>
      <w:r>
        <w:rPr>
          <w:rFonts w:cs="Calibri" w:ascii="Calibri" w:hAnsi="Calibri"/>
          <w:rtl w:val="true"/>
        </w:rPr>
        <w:t>, "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מושרשים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הצהרותיו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בשינוי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תוקפני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הטביעו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והחלישו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דחייה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ובזולת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הישרדותיים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התמכרותיים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ועבריינים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15" w:end="0"/>
        <w:jc w:val="both"/>
        <w:rPr/>
      </w:pPr>
      <w:r>
        <w:rPr>
          <w:rFonts w:ascii="Calibri" w:hAnsi="Calibri" w:cs="Calibri"/>
          <w:rtl w:val="true"/>
        </w:rPr>
        <w:t>לנגד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מחד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גיסא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נלקחו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בוויסות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המורכבת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מאידך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גיסא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ביכולת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לתקשורת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ובנכונותו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המילולית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15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גבוה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להתנהגות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שתתרחש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חומרת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תוצאותיה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עשויה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לכוחותיו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ולהשמתו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240" w:after="240"/>
        <w:ind w:firstLine="16" w:start="74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עיקרי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ת</w:t>
      </w:r>
      <w:r>
        <w:rPr>
          <w:rFonts w:cs="Calibri" w:ascii="Calibri" w:hAnsi="Calibri"/>
          <w:b/>
          <w:bCs/>
          <w:rtl w:val="true"/>
        </w:rPr>
        <w:t>/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גניבה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תקיפה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והתפרצות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ביולי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בדצמבר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מתוכם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שריצה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11.10.15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התיק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הקודם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).  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20.9.15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שביצועו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11.10.15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האמיתית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לזנוח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5-3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מתנגדת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20.9.15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11.10.15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ולחפוף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עיתוי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עיכוב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10.6.16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שלהלן</w:t>
      </w:r>
      <w:r>
        <w:rPr>
          <w:rFonts w:cs="Calibri" w:ascii="Calibri" w:hAnsi="Calibri"/>
          <w:rtl w:val="true"/>
        </w:rPr>
        <w:t xml:space="preserve">: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13870-09-13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חמו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2.3.2014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29.5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 xml:space="preserve">;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7949/07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אבקסיס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12.2.2008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אבקסיס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גנובים</w:t>
      </w:r>
      <w:r>
        <w:rPr>
          <w:rFonts w:cs="Calibri" w:ascii="Calibri" w:hAnsi="Calibri"/>
          <w:rtl w:val="true"/>
        </w:rPr>
        <w:t xml:space="preserve">;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40320/04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קאדר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9.3.2005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–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2839/05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קאדר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17.11.2005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קאדר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firstLine="16" w:start="74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240" w:after="240"/>
        <w:ind w:firstLine="16" w:start="74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עיקרי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ההגנה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hyperlink r:id="rId21">
        <w:r>
          <w:rPr>
            <w:rStyle w:val="Hyperlink"/>
            <w:rFonts w:cs="Calibri" w:ascii="Calibri" w:hAnsi="Calibri"/>
            <w:color w:val="0000FF"/>
            <w:u w:val="single"/>
          </w:rPr>
          <w:t>1332/04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541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2004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פס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מתחילתו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החריגות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בילדותו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ושעיצבו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הניסיונות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יתכן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ניצנים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הסוהר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שלהלן</w:t>
      </w:r>
      <w:r>
        <w:rPr>
          <w:rFonts w:cs="Calibri" w:ascii="Calibri" w:hAnsi="Calibri"/>
          <w:rtl w:val="true"/>
        </w:rPr>
        <w:t xml:space="preserve">: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6281/15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21.4.2016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קשוע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1768/14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גנאיים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22.7.2014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גנאיים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5323/12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17.6.2014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ליל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2839/14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נבארי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13.5.2014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נבארי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19.1.2014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2892/13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עודתאללה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29.9.2013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עודתאללה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5677/12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31.1.2013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2006/12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אסדי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28.3.2012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אסדי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2044/11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בלוצרקובסקי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7.7.2011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בלוצרקובסקי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cs="Calibri" w:ascii="Calibri" w:hAnsi="Calibri"/>
          <w:rtl w:val="true"/>
        </w:rPr>
        <w:t xml:space="preserve">: 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40450-09-15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חי</w:t>
      </w:r>
      <w:r>
        <w:rPr>
          <w:rFonts w:cs="Calibri" w:ascii="Calibri" w:hAnsi="Calibri"/>
          <w:rtl w:val="true"/>
        </w:rPr>
        <w:t xml:space="preserve">')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עכאוי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20.1.2016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21009-03-15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סואעד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15.12.2015</w:t>
      </w:r>
      <w:r>
        <w:rPr>
          <w:rFonts w:cs="Calibri" w:ascii="Calibri" w:hAnsi="Calibri"/>
          <w:rtl w:val="true"/>
        </w:rPr>
        <w:t xml:space="preserve">). 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לעמדת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שבמרבית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33">
        <w:r>
          <w:rPr>
            <w:rStyle w:val="Hyperlink"/>
            <w:rFonts w:ascii="Calibri" w:hAnsi="Calibri" w:cs="Calibri"/>
            <w:color w:val="0000FF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45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כעציר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כאסיר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בדבריו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תירוץ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שמו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כעת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להאשים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העולם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ולחפש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ולהתנתק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נולדתי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עבריין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נראתה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טבעית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לצמוח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ולגדול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כלשונו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240" w:after="240"/>
        <w:ind w:firstLine="16" w:start="74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240" w:after="240"/>
        <w:ind w:start="515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כללי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35">
        <w:r>
          <w:rPr>
            <w:rStyle w:val="Hyperlink"/>
            <w:rFonts w:ascii="Calibri" w:hAnsi="Calibri" w:cs="Calibri"/>
            <w:color w:val="0000FF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העיקרון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דהיינו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37">
        <w:r>
          <w:rPr>
            <w:rStyle w:val="Hyperlink"/>
            <w:rFonts w:ascii="Calibri" w:hAnsi="Calibri" w:cs="Calibri"/>
            <w:color w:val="0000FF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cs="Calibri"/>
            <w:color w:val="0000FF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עיקרון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b/>
          <w:b/>
          <w:bCs/>
          <w:rtl w:val="true"/>
        </w:rPr>
        <w:t>הערך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hyperlink r:id="rId38">
        <w:r>
          <w:rPr>
            <w:rStyle w:val="Hyperlink"/>
            <w:rFonts w:ascii="Calibri" w:hAnsi="Calibri" w:cs="Calibri"/>
            <w:color w:val="0000FF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cs="Calibri"/>
            <w:color w:val="0000FF"/>
            <w:rtl w:val="true"/>
          </w:rPr>
          <w:t>ט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2918/13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דבס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18.7.2013</w:t>
      </w:r>
      <w:r>
        <w:rPr>
          <w:rFonts w:cs="Calibri" w:ascii="Calibri" w:hAnsi="Calibri"/>
          <w:rtl w:val="true"/>
        </w:rPr>
        <w:t xml:space="preserve">); 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8641/12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29-18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סולברג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5.8.2013</w:t>
      </w:r>
      <w:r>
        <w:rPr>
          <w:rFonts w:cs="Calibri" w:ascii="Calibri" w:hAnsi="Calibri"/>
          <w:rtl w:val="true"/>
        </w:rPr>
        <w:t xml:space="preserve">); 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4741/13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נעאמנה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10.6.2014</w:t>
      </w:r>
      <w:r>
        <w:rPr>
          <w:rFonts w:cs="Calibri" w:ascii="Calibri" w:hAnsi="Calibri"/>
          <w:rtl w:val="true"/>
        </w:rPr>
        <w:t>)].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גזירת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43">
        <w:r>
          <w:rPr>
            <w:rStyle w:val="Hyperlink"/>
            <w:rFonts w:ascii="Calibri" w:hAnsi="Calibri" w:cs="Calibri"/>
            <w:color w:val="0000FF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cs="Calibri"/>
            <w:color w:val="0000FF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בהתקיימות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כמפורט</w:t>
      </w:r>
      <w:r>
        <w:rPr>
          <w:rFonts w:ascii="Calibri" w:hAnsi="Calibri" w:cs="Calibri"/>
          <w:rtl w:val="true"/>
        </w:rPr>
        <w:t xml:space="preserve"> </w:t>
      </w:r>
      <w:hyperlink r:id="rId44">
        <w:r>
          <w:rPr>
            <w:rStyle w:val="Hyperlink"/>
            <w:rFonts w:ascii="Calibri" w:hAnsi="Calibri" w:cs="Calibri"/>
            <w:color w:val="0000FF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cs="Calibri"/>
            <w:color w:val="0000FF"/>
            <w:rtl w:val="true"/>
          </w:rPr>
          <w:t>יא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הרתעה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45">
        <w:r>
          <w:rPr>
            <w:rStyle w:val="Hyperlink"/>
            <w:rFonts w:ascii="Calibri" w:hAnsi="Calibri" w:cs="Calibri"/>
            <w:color w:val="0000FF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cs="Calibri"/>
            <w:color w:val="0000FF"/>
            <w:rtl w:val="true"/>
          </w:rPr>
          <w:t>ו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והרתעת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46">
        <w:r>
          <w:rPr>
            <w:rStyle w:val="Hyperlink"/>
            <w:rFonts w:ascii="Calibri" w:hAnsi="Calibri" w:cs="Calibri"/>
            <w:color w:val="0000FF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cs="Calibri"/>
            <w:color w:val="0000FF"/>
            <w:rtl w:val="true"/>
          </w:rPr>
          <w:t>ז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b/>
          <w:b/>
          <w:bCs/>
          <w:rtl w:val="true"/>
        </w:rPr>
        <w:t>ובלבד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חריגה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–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47">
        <w:r>
          <w:rPr>
            <w:rStyle w:val="Hyperlink"/>
            <w:rFonts w:ascii="Calibri" w:hAnsi="Calibri" w:cs="Calibri"/>
            <w:color w:val="0000FF"/>
            <w:rtl w:val="true"/>
          </w:rPr>
          <w:t>לסעיפים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40</w:t>
        </w:r>
        <w:r>
          <w:rPr>
            <w:rStyle w:val="Hyperlink"/>
            <w:rFonts w:ascii="Calibri" w:hAnsi="Calibri" w:cs="Calibri"/>
            <w:color w:val="0000FF"/>
            <w:rtl w:val="true"/>
          </w:rPr>
          <w:t>ד</w:t>
        </w:r>
        <w:r>
          <w:rPr>
            <w:rStyle w:val="Hyperlink"/>
            <w:rFonts w:cs="Calibri" w:ascii="Calibri" w:hAnsi="Calibri"/>
            <w:color w:val="0000FF"/>
            <w:rtl w:val="true"/>
          </w:rPr>
          <w:t>-</w:t>
        </w:r>
        <w:r>
          <w:rPr>
            <w:rStyle w:val="Hyperlink"/>
            <w:rFonts w:ascii="Calibri" w:hAnsi="Calibri" w:cs="Calibri"/>
            <w:color w:val="0000FF"/>
            <w:rtl w:val="true"/>
          </w:rPr>
          <w:t>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15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הפרט</w:t>
      </w:r>
    </w:p>
    <w:p>
      <w:pPr>
        <w:pStyle w:val="Normal"/>
        <w:spacing w:lineRule="auto" w:line="360" w:before="240" w:after="240"/>
        <w:ind w:start="515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ההולם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הערכים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שלטון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וביטחונו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425"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הגלומות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המיוחדת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פס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כתוארה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ביניש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240"/>
        <w:ind w:start="1082" w:end="1418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בכל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לחומרת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הראוי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להרתיע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מנפיצות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התופעה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שונים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נשיאתו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גבוהה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שהמציאות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השוררת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בארץ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זמינותו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עוצמה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להסלמה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באלימות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העבריינית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והאידאולוגית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כאחד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מחייבת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והחמרה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545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בבואו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240"/>
        <w:ind w:start="1082" w:end="1418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בפסיקתנו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המבוצעות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מושפעת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הטמון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המוחזק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ומהעברתו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פיקוח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בבוא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לגזור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ונשיאה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להתחשב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החומרה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המיוחדת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שבעבירה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היתר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בית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דעתו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המוחזק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כמותו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התכלית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שלשמה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הסכנה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המוחשית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שיעשה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cs="Calibri" w:ascii="Calibri" w:hAnsi="Calibri"/>
          <w:b/>
          <w:bCs/>
          <w:rtl w:val="true"/>
        </w:rPr>
        <w:t xml:space="preserve">..."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544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240"/>
        <w:ind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ובראן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5717/14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גדבאן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2.12.2014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גדבאן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): </w:t>
      </w:r>
    </w:p>
    <w:p>
      <w:pPr>
        <w:pStyle w:val="Normal"/>
        <w:spacing w:lineRule="auto" w:line="360" w:before="0" w:after="240"/>
        <w:ind w:start="1082" w:end="1418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חומרתן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תחומה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ולהיותן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מנוגדות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החרות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מובילות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ולמצער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החשש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שיובילו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לעבירות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נוספות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בזולת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האינטרס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מצדיק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ומחייב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העלאת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יהיו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ומשמעותיים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cs="Calibri" w:ascii="Calibri" w:hAnsi="Calibri"/>
          <w:rtl w:val="true"/>
        </w:rPr>
        <w:t xml:space="preserve">: 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5900/15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מעוז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10.5.2016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מעוז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5646/15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תיהוואי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14.2.2016</w:t>
      </w:r>
      <w:r>
        <w:rPr>
          <w:rFonts w:cs="Calibri" w:ascii="Calibri" w:hAnsi="Calibri"/>
          <w:rtl w:val="true"/>
        </w:rPr>
        <w:t xml:space="preserve">); 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2422/14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(</w:t>
      </w:r>
      <w:r>
        <w:rPr>
          <w:rFonts w:cs="Calibri" w:ascii="Calibri" w:hAnsi="Calibri"/>
        </w:rPr>
        <w:t>21.12.2014</w:t>
      </w:r>
      <w:r>
        <w:rPr>
          <w:rFonts w:cs="Calibri" w:ascii="Calibri" w:hAnsi="Calibri"/>
          <w:rtl w:val="true"/>
        </w:rPr>
        <w:t xml:space="preserve">); 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6989/13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25.2.2014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; </w:t>
      </w:r>
      <w:hyperlink r:id="rId5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8488/11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5.11.2012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חליל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אבקסיס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].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גלומה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עיתוי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שביצועו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עוכב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360" w:before="0" w:after="240"/>
        <w:ind w:hanging="425" w:start="515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ממשנהו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הקונקרטיות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36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;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הורשע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גזירת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המתאים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לנאשם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ובראשן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הפלילי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וניכרת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הסלמה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מותנה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אינם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מרתיעים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אותו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קאדר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240" w:after="240"/>
        <w:ind w:start="1082" w:end="1418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למערער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הרשעות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קודמות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מעורבותו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בפלילים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מלמדת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מלקחי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אדרבא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מצביעה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הסלמה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בחומרתן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מבצע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לומר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התופעה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המתהלכים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ברחובות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כשנשק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בכיסם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ומכאן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לנקוט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הרתעה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לרבים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הביולוגיים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בתפקוד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המאמצת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ילדוּת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מהווה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הצדקה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ולרמיסת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מורתע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הצהרותיו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דיבורים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גבוה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להתנהגות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שתתרחש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חומרת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תוצאותיה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עשויה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המצויה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קשוע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הטרדה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בפזיזות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מבלעדי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ההודאה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ושיהוי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גנאיים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נבארי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סקרנות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עודתאללה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והסתייעות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אסדי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בלוצרקובסקי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לעומת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מעוז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גדבאן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לבריחה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דלעיל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עיכוב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בנקודה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hyperlink r:id="rId54">
        <w:r>
          <w:rPr>
            <w:rStyle w:val="Hyperlink"/>
            <w:rFonts w:ascii="Calibri" w:hAnsi="Calibri" w:cs="Calibri"/>
            <w:color w:val="0000FF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45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hyperlink r:id="rId56">
        <w:r>
          <w:rPr>
            <w:rStyle w:val="Hyperlink"/>
            <w:rFonts w:ascii="Calibri" w:hAnsi="Calibri" w:cs="Calibri"/>
            <w:color w:val="0000FF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45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שנשא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מקצתם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ההדגשה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הוספה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הוראת</w:t>
      </w:r>
      <w:r>
        <w:rPr>
          <w:rFonts w:ascii="Calibri" w:hAnsi="Calibri" w:cs="Calibri"/>
          <w:rtl w:val="true"/>
        </w:rPr>
        <w:t xml:space="preserve"> </w:t>
      </w:r>
      <w:hyperlink r:id="rId58">
        <w:r>
          <w:rPr>
            <w:rStyle w:val="Hyperlink"/>
            <w:rFonts w:ascii="Calibri" w:hAnsi="Calibri" w:cs="Calibri"/>
            <w:color w:val="0000FF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</w:rPr>
          <w:t>45</w:t>
        </w:r>
        <w:r>
          <w:rPr>
            <w:rStyle w:val="Hyperlink"/>
            <w:rFonts w:cs="Calibri" w:ascii="Calibri" w:hAnsi="Calibri"/>
            <w:color w:val="0000FF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26.6.16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לאחר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10.6.16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cs="Calibri" w:ascii="Calibri" w:hAnsi="Calibri"/>
          <w:rtl w:val="true"/>
        </w:rPr>
        <w:t>".</w:t>
      </w:r>
    </w:p>
    <w:p>
      <w:pPr>
        <w:pStyle w:val="Normal"/>
        <w:spacing w:lineRule="auto" w:line="360" w:before="240" w:after="240"/>
        <w:ind w:start="509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ומהותית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סיכומם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וההרתעה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החלטתי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ינצל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240" w:after="240"/>
        <w:ind w:firstLine="16" w:start="74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4"/>
        </w:numPr>
        <w:spacing w:lineRule="auto" w:line="360" w:before="240" w:after="240"/>
        <w:ind w:hanging="425" w:start="515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240" w:after="240"/>
        <w:ind w:hanging="360" w:start="1882"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</w:rPr>
        <w:t>30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20.9.15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11.10.15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11.6.16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240" w:after="240"/>
        <w:ind w:hanging="360" w:start="1882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240" w:after="240"/>
        <w:ind w:hanging="360" w:start="1882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240" w:after="240"/>
        <w:ind w:start="509" w:end="0"/>
        <w:jc w:val="both"/>
        <w:rPr/>
      </w:pPr>
      <w:r>
        <w:rPr>
          <w:rFonts w:ascii="Calibri" w:hAnsi="Calibri" w:cs="Calibri"/>
          <w:rtl w:val="true"/>
        </w:rPr>
        <w:t>תשומת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מופנית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כמצוין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240"/>
        <w:ind w:hanging="357" w:start="799" w:end="0"/>
        <w:jc w:val="both"/>
        <w:rPr>
          <w:rFonts w:ascii="Calibri" w:hAnsi="Calibri" w:cs="Calibri"/>
          <w:highlight w:val="yellow"/>
        </w:rPr>
      </w:pP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</w:p>
    <w:p>
      <w:pPr>
        <w:pStyle w:val="Normal"/>
        <w:ind w:end="0"/>
        <w:jc w:val="start"/>
        <w:rPr>
          <w:rFonts w:ascii="Calibri" w:hAnsi="Calibri" w:cs="Calibri"/>
          <w:highlight w:val="yellow"/>
        </w:rPr>
      </w:pPr>
      <w:r>
        <w:rPr>
          <w:rFonts w:cs="Calibri" w:ascii="Calibri" w:hAnsi="Calibri"/>
          <w:highlight w:val="yellow"/>
          <w:rtl w:val="true"/>
        </w:rPr>
      </w:r>
    </w:p>
    <w:tbl>
      <w:tblPr>
        <w:tblpPr w:vertAnchor="text" w:horzAnchor="margin" w:tblpXSpec="left" w:rightFromText="180" w:tblpY="1115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19"/>
      </w:tblGrid>
      <w:tr>
        <w:trPr/>
        <w:tc>
          <w:tcPr>
            <w:tcW w:w="291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Times New Roman"/>
                <w:sz w:val="20"/>
                <w:szCs w:val="20"/>
                <w:rtl w:val="true"/>
                <w:lang w:val="en-IL" w:eastAsia="en-IL"/>
              </w:rPr>
              <w:t xml:space="preserve">   </w:t>
            </w:r>
          </w:p>
        </w:tc>
      </w:tr>
      <w:tr>
        <w:trPr/>
        <w:tc>
          <w:tcPr>
            <w:tcW w:w="2919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מרדכי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/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0"/>
      <w:footerReference w:type="default" r:id="rId6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11362-10-15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נסיך זרתוסטרא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1882" w:hanging="360"/>
      </w:pPr>
      <w:rPr>
        <w:sz w:val="2"/>
        <w:szCs w:val="22"/>
        <w:rFonts w:cs="Times New Roman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sz w:val="24"/>
        <w:b w:val="false"/>
        <w:szCs w:val="24"/>
        <w:bCs w:val="false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David"/>
      <w:b w:val="false"/>
      <w:bCs w:val="false"/>
      <w:sz w:val="2"/>
      <w:szCs w:val="24"/>
    </w:rPr>
  </w:style>
  <w:style w:type="character" w:styleId="WW8Num2z3">
    <w:name w:val="WW8Num2z3"/>
    <w:qFormat/>
    <w:rPr>
      <w:rFonts w:cs="Times New Roman"/>
    </w:rPr>
  </w:style>
  <w:style w:type="character" w:styleId="WW8Num3z0">
    <w:name w:val="WW8Num3z0"/>
    <w:qFormat/>
    <w:rPr>
      <w:rFonts w:cs="Times New Roman"/>
      <w:sz w:val="2"/>
      <w:szCs w:val="22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  <w:sz w:val="2"/>
      <w:szCs w:val="26"/>
    </w:rPr>
  </w:style>
  <w:style w:type="character" w:styleId="WW8Num7z0">
    <w:name w:val="WW8Num7z0"/>
    <w:qFormat/>
    <w:rPr>
      <w:rFonts w:cs="Times New Roman"/>
      <w:b w:val="false"/>
      <w:bCs w:val="false"/>
      <w:color w:val="000000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cs="Times New Roman"/>
      <w:b w:val="false"/>
      <w:bCs w:val="false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  <w:b w:val="false"/>
      <w:bCs w:val="false"/>
      <w:sz w:val="24"/>
      <w:szCs w:val="24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>
      <w:rFonts w:cs="Times New Roman"/>
      <w:b w:val="false"/>
      <w:bCs w:val="false"/>
    </w:rPr>
  </w:style>
  <w:style w:type="character" w:styleId="WW8Num10z1">
    <w:name w:val="WW8Num10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5">
    <w:name w:val=" Char Char5"/>
    <w:qFormat/>
    <w:rPr>
      <w:rFonts w:ascii="Arial" w:hAnsi="Arial" w:cs="Arial"/>
      <w:b/>
      <w:bCs/>
      <w:kern w:val="2"/>
      <w:sz w:val="32"/>
      <w:szCs w:val="32"/>
      <w:lang w:val="en-US" w:bidi="he-IL"/>
    </w:rPr>
  </w:style>
  <w:style w:type="character" w:styleId="CharChar4">
    <w:name w:val=" Char Char4"/>
    <w:qFormat/>
    <w:rPr>
      <w:rFonts w:cs="Narkisim"/>
      <w:b/>
      <w:bCs/>
      <w:sz w:val="24"/>
      <w:szCs w:val="24"/>
      <w:lang w:val="en-US" w:bidi="he-IL"/>
    </w:rPr>
  </w:style>
  <w:style w:type="character" w:styleId="CharChar">
    <w:name w:val=" Char Char"/>
    <w:qFormat/>
    <w:rPr>
      <w:rFonts w:ascii="Tahoma" w:hAnsi="Tahoma" w:cs="Tahoma"/>
      <w:sz w:val="16"/>
      <w:szCs w:val="16"/>
      <w:lang w:val="en-US" w:bidi="he-IL"/>
    </w:rPr>
  </w:style>
  <w:style w:type="character" w:styleId="CharChar3">
    <w:name w:val=" Char Char3"/>
    <w:qFormat/>
    <w:rPr>
      <w:rFonts w:cs="David"/>
      <w:sz w:val="24"/>
      <w:szCs w:val="24"/>
      <w:lang w:val="en-US" w:bidi="he-IL"/>
    </w:rPr>
  </w:style>
  <w:style w:type="character" w:styleId="CharChar2">
    <w:name w:val=" Char Char2"/>
    <w:qFormat/>
    <w:rPr>
      <w:rFonts w:cs="David"/>
      <w:sz w:val="24"/>
      <w:szCs w:val="24"/>
      <w:lang w:val="en-US" w:bidi="he-IL"/>
    </w:rPr>
  </w:style>
  <w:style w:type="character" w:styleId="Style12">
    <w:name w:val="תבנית רגיל תו"/>
    <w:qFormat/>
    <w:rPr>
      <w:rFonts w:ascii="Times" w:hAnsi="Times" w:cs="David"/>
      <w:sz w:val="24"/>
      <w:szCs w:val="26"/>
      <w:lang w:val="en-US" w:bidi="he-IL"/>
    </w:r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harChar1">
    <w:name w:val=" Char Char1"/>
    <w:qFormat/>
    <w:rPr>
      <w:sz w:val="24"/>
      <w:szCs w:val="24"/>
      <w:lang w:val="en-US" w:bidi="he-IL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360" w:before="0" w:after="0"/>
      <w:ind w:hanging="437" w:start="652" w:end="0"/>
      <w:contextualSpacing/>
      <w:jc w:val="both"/>
    </w:pPr>
    <w:rPr>
      <w:rFonts w:ascii="Calibri" w:hAnsi="Calibri" w:cs="Arial"/>
      <w:sz w:val="22"/>
      <w:szCs w:val="22"/>
    </w:rPr>
  </w:style>
  <w:style w:type="paragraph" w:styleId="Style13">
    <w:name w:val="תבנית רגיל"/>
    <w:basedOn w:val="Normal"/>
    <w:qFormat/>
    <w:pPr>
      <w:spacing w:lineRule="auto" w:line="360"/>
      <w:jc w:val="both"/>
    </w:pPr>
    <w:rPr>
      <w:rFonts w:ascii="Times" w:hAnsi="Times" w:cs="Times"/>
      <w:szCs w:val="26"/>
    </w:rPr>
  </w:style>
  <w:style w:type="paragraph" w:styleId="1">
    <w:name w:val="פיסקת רשימה1"/>
    <w:basedOn w:val="Normal"/>
    <w:qFormat/>
    <w:pPr>
      <w:spacing w:lineRule="auto" w:line="360" w:before="0" w:after="240"/>
      <w:ind w:hanging="425" w:start="720" w:end="0"/>
      <w:jc w:val="both"/>
    </w:pPr>
    <w:rPr>
      <w:rFonts w:ascii="Calibri" w:hAnsi="Calibri" w:cs="Arial"/>
      <w:sz w:val="22"/>
      <w:szCs w:val="22"/>
    </w:rPr>
  </w:style>
  <w:style w:type="paragraph" w:styleId="Style14">
    <w:name w:val="ממוספר"/>
    <w:basedOn w:val="Normal"/>
    <w:qFormat/>
    <w:pPr>
      <w:numPr>
        <w:ilvl w:val="0"/>
        <w:numId w:val="2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e" TargetMode="External"/><Relationship Id="rId8" Type="http://schemas.openxmlformats.org/officeDocument/2006/relationships/hyperlink" Target="http://www.nevo.co.il/law/70301/40f" TargetMode="External"/><Relationship Id="rId9" Type="http://schemas.openxmlformats.org/officeDocument/2006/relationships/hyperlink" Target="http://www.nevo.co.il/law/70301/40g" TargetMode="External"/><Relationship Id="rId10" Type="http://schemas.openxmlformats.org/officeDocument/2006/relationships/hyperlink" Target="http://www.nevo.co.il/law/70301/40i" TargetMode="External"/><Relationship Id="rId11" Type="http://schemas.openxmlformats.org/officeDocument/2006/relationships/hyperlink" Target="http://www.nevo.co.il/law/70301/45.b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40j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case/7995524" TargetMode="External"/><Relationship Id="rId18" Type="http://schemas.openxmlformats.org/officeDocument/2006/relationships/hyperlink" Target="http://www.nevo.co.il/case/6117082" TargetMode="External"/><Relationship Id="rId19" Type="http://schemas.openxmlformats.org/officeDocument/2006/relationships/hyperlink" Target="http://www.nevo.co.il/case/2238588" TargetMode="External"/><Relationship Id="rId20" Type="http://schemas.openxmlformats.org/officeDocument/2006/relationships/hyperlink" Target="http://www.nevo.co.il/case/5859902" TargetMode="External"/><Relationship Id="rId21" Type="http://schemas.openxmlformats.org/officeDocument/2006/relationships/hyperlink" Target="http://www.nevo.co.il/case/5762686" TargetMode="External"/><Relationship Id="rId22" Type="http://schemas.openxmlformats.org/officeDocument/2006/relationships/hyperlink" Target="http://www.nevo.co.il/case/20597471" TargetMode="External"/><Relationship Id="rId23" Type="http://schemas.openxmlformats.org/officeDocument/2006/relationships/hyperlink" Target="http://www.nevo.co.il/case/13023134" TargetMode="External"/><Relationship Id="rId24" Type="http://schemas.openxmlformats.org/officeDocument/2006/relationships/hyperlink" Target="http://www.nevo.co.il/case/5590091" TargetMode="External"/><Relationship Id="rId25" Type="http://schemas.openxmlformats.org/officeDocument/2006/relationships/hyperlink" Target="http://www.nevo.co.il/case/16900316" TargetMode="External"/><Relationship Id="rId26" Type="http://schemas.openxmlformats.org/officeDocument/2006/relationships/hyperlink" Target="http://www.nevo.co.il/case/7791493" TargetMode="External"/><Relationship Id="rId27" Type="http://schemas.openxmlformats.org/officeDocument/2006/relationships/hyperlink" Target="http://www.nevo.co.il/case/6949290" TargetMode="External"/><Relationship Id="rId28" Type="http://schemas.openxmlformats.org/officeDocument/2006/relationships/hyperlink" Target="http://www.nevo.co.il/case/5591782" TargetMode="External"/><Relationship Id="rId29" Type="http://schemas.openxmlformats.org/officeDocument/2006/relationships/hyperlink" Target="http://www.nevo.co.il/case/5578534" TargetMode="External"/><Relationship Id="rId30" Type="http://schemas.openxmlformats.org/officeDocument/2006/relationships/hyperlink" Target="http://www.nevo.co.il/case/5808567" TargetMode="External"/><Relationship Id="rId31" Type="http://schemas.openxmlformats.org/officeDocument/2006/relationships/hyperlink" Target="http://www.nevo.co.il/case/20590970" TargetMode="External"/><Relationship Id="rId32" Type="http://schemas.openxmlformats.org/officeDocument/2006/relationships/hyperlink" Target="http://www.nevo.co.il/case/20111135" TargetMode="External"/><Relationship Id="rId33" Type="http://schemas.openxmlformats.org/officeDocument/2006/relationships/hyperlink" Target="http://www.nevo.co.il/law/70301/45.b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b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40c.a" TargetMode="External"/><Relationship Id="rId38" Type="http://schemas.openxmlformats.org/officeDocument/2006/relationships/hyperlink" Target="http://www.nevo.co.il/law/70301/40i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6950458" TargetMode="External"/><Relationship Id="rId41" Type="http://schemas.openxmlformats.org/officeDocument/2006/relationships/hyperlink" Target="http://www.nevo.co.il/case/5573417" TargetMode="External"/><Relationship Id="rId42" Type="http://schemas.openxmlformats.org/officeDocument/2006/relationships/hyperlink" Target="http://www.nevo.co.il/case/7730704" TargetMode="External"/><Relationship Id="rId43" Type="http://schemas.openxmlformats.org/officeDocument/2006/relationships/hyperlink" Target="http://www.nevo.co.il/law/70301/40c.b" TargetMode="External"/><Relationship Id="rId44" Type="http://schemas.openxmlformats.org/officeDocument/2006/relationships/hyperlink" Target="http://www.nevo.co.il/law/70301/40ja" TargetMode="External"/><Relationship Id="rId45" Type="http://schemas.openxmlformats.org/officeDocument/2006/relationships/hyperlink" Target="http://www.nevo.co.il/law/70301/40f" TargetMode="External"/><Relationship Id="rId46" Type="http://schemas.openxmlformats.org/officeDocument/2006/relationships/hyperlink" Target="http://www.nevo.co.il/law/70301/40g" TargetMode="External"/><Relationship Id="rId47" Type="http://schemas.openxmlformats.org/officeDocument/2006/relationships/hyperlink" Target="http://www.nevo.co.il/law/70301/40d;40e" TargetMode="External"/><Relationship Id="rId48" Type="http://schemas.openxmlformats.org/officeDocument/2006/relationships/hyperlink" Target="http://www.nevo.co.il/case/17948201" TargetMode="External"/><Relationship Id="rId49" Type="http://schemas.openxmlformats.org/officeDocument/2006/relationships/hyperlink" Target="http://www.nevo.co.il/case/21472954" TargetMode="External"/><Relationship Id="rId50" Type="http://schemas.openxmlformats.org/officeDocument/2006/relationships/hyperlink" Target="http://www.nevo.co.il/case/20531134" TargetMode="External"/><Relationship Id="rId51" Type="http://schemas.openxmlformats.org/officeDocument/2006/relationships/hyperlink" Target="http://www.nevo.co.il/case/13090914" TargetMode="External"/><Relationship Id="rId52" Type="http://schemas.openxmlformats.org/officeDocument/2006/relationships/hyperlink" Target="http://www.nevo.co.il/case/8291683" TargetMode="External"/><Relationship Id="rId53" Type="http://schemas.openxmlformats.org/officeDocument/2006/relationships/hyperlink" Target="http://www.nevo.co.il/case/5608029" TargetMode="External"/><Relationship Id="rId54" Type="http://schemas.openxmlformats.org/officeDocument/2006/relationships/hyperlink" Target="http://www.nevo.co.il/law/70301/45.b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45.b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45.b" TargetMode="External"/><Relationship Id="rId59" Type="http://schemas.openxmlformats.org/officeDocument/2006/relationships/hyperlink" Target="http://www.nevo.co.il/advertisements/nevo-100.doc" TargetMode="External"/><Relationship Id="rId60" Type="http://schemas.openxmlformats.org/officeDocument/2006/relationships/header" Target="header1.xml"/><Relationship Id="rId61" Type="http://schemas.openxmlformats.org/officeDocument/2006/relationships/footer" Target="footer1.xml"/><Relationship Id="rId62" Type="http://schemas.openxmlformats.org/officeDocument/2006/relationships/numbering" Target="numbering.xml"/><Relationship Id="rId63" Type="http://schemas.openxmlformats.org/officeDocument/2006/relationships/fontTable" Target="fontTable.xml"/><Relationship Id="rId64" Type="http://schemas.openxmlformats.org/officeDocument/2006/relationships/settings" Target="settings.xml"/><Relationship Id="rId6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2016-12-01T15:07:00Z</dcterms:created>
  <dc:creator> </dc:creator>
  <dc:description/>
  <cp:keywords/>
  <dc:language>en-IL</dc:language>
  <cp:lastModifiedBy>yafit</cp:lastModifiedBy>
  <dcterms:modified xsi:type="dcterms:W3CDTF">2016-12-01T15:07:00Z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נסיך זרתוסטרא</vt:lpwstr>
  </property>
  <property fmtid="{D5CDD505-2E9C-101B-9397-08002B2CF9AE}" pid="4" name="CASESLISTTMP1">
    <vt:lpwstr>7995524;6117082;2238588;5859902;5762686;20597471;13023134;5590091;16900316;7791493;6949290;5591782;5578534;5808567;20590970;20111135;6950458;5573417;7730704;17948201;21472954;20531134;13090914;8291683;5608029</vt:lpwstr>
  </property>
  <property fmtid="{D5CDD505-2E9C-101B-9397-08002B2CF9AE}" pid="5" name="CITY">
    <vt:lpwstr>ת"א</vt:lpwstr>
  </property>
  <property fmtid="{D5CDD505-2E9C-101B-9397-08002B2CF9AE}" pid="6" name="DATE">
    <vt:lpwstr>20160626</vt:lpwstr>
  </property>
  <property fmtid="{D5CDD505-2E9C-101B-9397-08002B2CF9AE}" pid="7" name="ISABSTRACT">
    <vt:lpwstr>Y</vt:lpwstr>
  </property>
  <property fmtid="{D5CDD505-2E9C-101B-9397-08002B2CF9AE}" pid="8" name="JUDGE">
    <vt:lpwstr>מרדכי לוי</vt:lpwstr>
  </property>
  <property fmtid="{D5CDD505-2E9C-101B-9397-08002B2CF9AE}" pid="9" name="LAWLISTTMP1">
    <vt:lpwstr>70301/144.b:2;045.b:4;040b;040c.a;040i;040c.b;40ja;040f;040g;040d;040e</vt:lpwstr>
  </property>
  <property fmtid="{D5CDD505-2E9C-101B-9397-08002B2CF9AE}" pid="10" name="LAWYER">
    <vt:lpwstr>גיא רוסו;פמת"א;יקי קהן</vt:lpwstr>
  </property>
  <property fmtid="{D5CDD505-2E9C-101B-9397-08002B2CF9AE}" pid="11" name="NEWPARTA">
    <vt:lpwstr>11362</vt:lpwstr>
  </property>
  <property fmtid="{D5CDD505-2E9C-101B-9397-08002B2CF9AE}" pid="12" name="NEWPARTB">
    <vt:lpwstr>10</vt:lpwstr>
  </property>
  <property fmtid="{D5CDD505-2E9C-101B-9397-08002B2CF9AE}" pid="13" name="NEWPARTC">
    <vt:lpwstr>15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390020160626</vt:lpwstr>
  </property>
  <property fmtid="{D5CDD505-2E9C-101B-9397-08002B2CF9AE}" pid="18" name="TYPE_N_DATE">
    <vt:lpwstr>39020160626</vt:lpwstr>
  </property>
  <property fmtid="{D5CDD505-2E9C-101B-9397-08002B2CF9AE}" pid="19" name="WORDNUMPAGES">
    <vt:lpwstr>13</vt:lpwstr>
  </property>
</Properties>
</file>