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72"/>
        <w:gridCol w:w="26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דין אזורי לעבודה בירושלים</w:t>
            </w:r>
          </w:p>
        </w:tc>
      </w:tr>
      <w:tr>
        <w:trPr>
          <w:trHeight w:val="337" w:hRule="atLeast"/>
        </w:trPr>
        <w:tc>
          <w:tcPr>
            <w:tcW w:w="477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114-08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644-08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התמ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 מחלקה משפטית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 סמרין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996"/>
        <w:gridCol w:w="5759"/>
        <w:gridCol w:w="1963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דיתה פרוז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ינין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נשיאה</w:t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התעשיה המסחר והתעסוקה</w:t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 סמרין</w:t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גיורא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עדתו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מאהר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חנא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יוסף סמרין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20/1/11</w:t>
      </w:r>
      <w:r>
        <w:rPr>
          <w:rtl w:val="true"/>
        </w:rPr>
        <w:t xml:space="preserve"> </w:t>
      </w:r>
      <w:r>
        <w:rPr>
          <w:rtl w:val="true"/>
        </w:rPr>
        <w:t xml:space="preserve">הורשע הנאשם בהעסקת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עובדים זרים ללא היתר</w:t>
      </w:r>
      <w:r>
        <w:rPr>
          <w:rtl w:val="true"/>
        </w:rPr>
        <w:t xml:space="preserve">. </w:t>
      </w:r>
      <w:r>
        <w:rPr>
          <w:rtl w:val="true"/>
        </w:rPr>
        <w:t>כפי שטען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הנאשם חזר ועבר על עבירות של העסקת עובדים כאמור</w:t>
      </w:r>
      <w:r>
        <w:rPr>
          <w:rtl w:val="true"/>
        </w:rPr>
        <w:t xml:space="preserve">, </w:t>
      </w:r>
      <w:r>
        <w:rPr>
          <w:rtl w:val="true"/>
        </w:rPr>
        <w:t>אף לאחר שהיו ביקורות והנאשם היה מודע לכך שהוא מעסיק עובדים זרים ללא היתר</w:t>
      </w:r>
      <w:r>
        <w:rPr>
          <w:rtl w:val="true"/>
        </w:rPr>
        <w:t xml:space="preserve">. </w:t>
      </w:r>
      <w:r>
        <w:rPr>
          <w:rtl w:val="true"/>
        </w:rPr>
        <w:t>אציין עוד</w:t>
      </w:r>
      <w:r>
        <w:rPr>
          <w:rtl w:val="true"/>
        </w:rPr>
        <w:t xml:space="preserve">, </w:t>
      </w:r>
      <w:r>
        <w:rPr>
          <w:rtl w:val="true"/>
        </w:rPr>
        <w:t>כי העבירות נמשכו על פני כשלוש שנים</w:t>
      </w:r>
      <w:r>
        <w:rPr>
          <w:rtl w:val="true"/>
        </w:rPr>
        <w:t xml:space="preserve">, </w:t>
      </w:r>
      <w:r>
        <w:rPr>
          <w:rtl w:val="true"/>
        </w:rPr>
        <w:t>זמן ארוך לכל הדעות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עבירה של העסקת עובד זר בלא היתר הינה עבירה חמורה הפוגעת בעובדים ישראליים</w:t>
      </w:r>
      <w:r>
        <w:rPr>
          <w:rtl w:val="true"/>
        </w:rPr>
        <w:t xml:space="preserve">, </w:t>
      </w:r>
      <w:r>
        <w:rPr>
          <w:rtl w:val="true"/>
        </w:rPr>
        <w:t>והיא מנוגדת לחוק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מדובר אכן בעבירה כלכלית</w:t>
      </w:r>
      <w:r>
        <w:rPr>
          <w:rtl w:val="true"/>
        </w:rPr>
        <w:t xml:space="preserve">, </w:t>
      </w:r>
      <w:r>
        <w:rPr>
          <w:rtl w:val="true"/>
        </w:rPr>
        <w:t>שכן מי שמעסיק עובד זר בלא היתר גורף בשל כך רווח 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אף על</w:t>
      </w:r>
      <w:r>
        <w:rPr>
          <w:rtl w:val="true"/>
        </w:rPr>
        <w:t>-</w:t>
      </w:r>
      <w:r>
        <w:rPr>
          <w:rtl w:val="true"/>
        </w:rPr>
        <w:t>פי כן</w:t>
      </w:r>
      <w:r>
        <w:rPr>
          <w:rtl w:val="true"/>
        </w:rPr>
        <w:t xml:space="preserve">, </w:t>
      </w:r>
      <w:r>
        <w:rPr>
          <w:rtl w:val="true"/>
        </w:rPr>
        <w:t>לא ניתן להתעלם מן הסכום העצום של הקנס</w:t>
      </w:r>
      <w:r>
        <w:rPr>
          <w:rtl w:val="true"/>
        </w:rPr>
        <w:t xml:space="preserve">. </w:t>
      </w:r>
      <w:r>
        <w:rPr>
          <w:rtl w:val="true"/>
        </w:rPr>
        <w:t>אין כל ספק כי גם אדם אמיד יתקשה לשלם קנס כה גבוה</w:t>
      </w:r>
      <w:r>
        <w:rPr>
          <w:rtl w:val="true"/>
        </w:rPr>
        <w:t xml:space="preserve">. </w:t>
      </w:r>
      <w:r>
        <w:rPr>
          <w:rtl w:val="true"/>
        </w:rPr>
        <w:t>קל וחומר כאשר מדובר</w:t>
      </w:r>
      <w:r>
        <w:rPr>
          <w:rtl w:val="true"/>
        </w:rPr>
        <w:t xml:space="preserve">, </w:t>
      </w:r>
      <w:r>
        <w:rPr>
          <w:rtl w:val="true"/>
        </w:rPr>
        <w:t>על פי מה שהוצג על ידי הנאשם</w:t>
      </w:r>
      <w:r>
        <w:rPr>
          <w:rtl w:val="true"/>
        </w:rPr>
        <w:t xml:space="preserve">, </w:t>
      </w:r>
      <w:r>
        <w:rPr>
          <w:rtl w:val="true"/>
        </w:rPr>
        <w:t>באדם המשתכר למחייתו בקושי</w:t>
      </w:r>
      <w:r>
        <w:rPr>
          <w:rtl w:val="true"/>
        </w:rPr>
        <w:t xml:space="preserve">, </w:t>
      </w:r>
      <w:r>
        <w:rPr>
          <w:rtl w:val="true"/>
        </w:rPr>
        <w:t xml:space="preserve">ועל פי דברי הנאשם שכרו אינו עולה על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לחודש</w:t>
      </w:r>
      <w:r>
        <w:rPr>
          <w:rtl w:val="true"/>
        </w:rPr>
        <w:t xml:space="preserve">, </w:t>
      </w:r>
      <w:r>
        <w:rPr>
          <w:rtl w:val="true"/>
        </w:rPr>
        <w:t xml:space="preserve">ובסכום זה עליו לכלכל את משפחתו ובה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האפשרויות להפחתת הקנס מצומצמות</w:t>
      </w:r>
      <w:r>
        <w:rPr>
          <w:rtl w:val="true"/>
        </w:rPr>
        <w:t xml:space="preserve">, </w:t>
      </w:r>
      <w:r>
        <w:rPr>
          <w:rtl w:val="true"/>
        </w:rPr>
        <w:t>ועל פי הפסיקה יש להפחית את הקנס עד הגיעו ל</w:t>
      </w:r>
      <w:r>
        <w:rPr>
          <w:rtl w:val="true"/>
        </w:rPr>
        <w:t xml:space="preserve">- </w:t>
      </w:r>
      <w:r>
        <w:rPr/>
        <w:t>60%</w:t>
      </w:r>
      <w:r>
        <w:rPr>
          <w:rtl w:val="true"/>
        </w:rPr>
        <w:t xml:space="preserve"> </w:t>
      </w:r>
      <w:r>
        <w:rPr>
          <w:rtl w:val="true"/>
        </w:rPr>
        <w:t>מגובה הקנס המקסימלי הקבוע בחוק</w:t>
      </w:r>
      <w:r>
        <w:rPr>
          <w:rtl w:val="true"/>
        </w:rPr>
        <w:t xml:space="preserve">. </w:t>
      </w:r>
      <w:r>
        <w:rPr>
          <w:rtl w:val="true"/>
        </w:rPr>
        <w:t>אף על</w:t>
      </w:r>
      <w:r>
        <w:rPr>
          <w:rtl w:val="true"/>
        </w:rPr>
        <w:t>-</w:t>
      </w:r>
      <w:r>
        <w:rPr>
          <w:rtl w:val="true"/>
        </w:rPr>
        <w:t>פי כן</w:t>
      </w:r>
      <w:r>
        <w:rPr>
          <w:rtl w:val="true"/>
        </w:rPr>
        <w:t xml:space="preserve">, </w:t>
      </w:r>
      <w:r>
        <w:rPr>
          <w:rtl w:val="true"/>
        </w:rPr>
        <w:t>מקובלת עלי טענת ב</w:t>
      </w:r>
      <w:r>
        <w:rPr>
          <w:rtl w:val="true"/>
        </w:rPr>
        <w:t>"</w:t>
      </w:r>
      <w:r>
        <w:rPr>
          <w:rtl w:val="true"/>
        </w:rPr>
        <w:t xml:space="preserve">כ הנאשם כי יש </w:t>
      </w:r>
      <w:r>
        <w:rPr>
          <w:rtl w:val="true"/>
        </w:rPr>
        <w:t>"</w:t>
      </w:r>
      <w:r>
        <w:rPr>
          <w:rtl w:val="true"/>
        </w:rPr>
        <w:t>לתפור</w:t>
      </w:r>
      <w:r>
        <w:rPr>
          <w:rtl w:val="true"/>
        </w:rPr>
        <w:t xml:space="preserve">" </w:t>
      </w:r>
      <w:r>
        <w:rPr>
          <w:rtl w:val="true"/>
        </w:rPr>
        <w:t>את הקנס על פי מידותיו המיוחדות של כל נאשם</w:t>
      </w:r>
      <w:r>
        <w:rPr>
          <w:rtl w:val="true"/>
        </w:rPr>
        <w:t xml:space="preserve">. </w:t>
      </w:r>
      <w:r>
        <w:rPr>
          <w:rtl w:val="true"/>
        </w:rPr>
        <w:t>אין כל ספק כי הטלת קנס כה גבוה על הנאשם</w:t>
      </w:r>
      <w:r>
        <w:rPr>
          <w:rtl w:val="true"/>
        </w:rPr>
        <w:t xml:space="preserve">, </w:t>
      </w:r>
      <w:r>
        <w:rPr>
          <w:rtl w:val="true"/>
        </w:rPr>
        <w:t>למרות המעשים החמורים שבהם הורשע</w:t>
      </w:r>
      <w:r>
        <w:rPr>
          <w:rtl w:val="true"/>
        </w:rPr>
        <w:t xml:space="preserve">, </w:t>
      </w:r>
      <w:r>
        <w:rPr>
          <w:rtl w:val="true"/>
        </w:rPr>
        <w:t>עלולה לגרום לתוצאות שאין כל ספק כי בית הדין אינו חפץ בהגשמתן</w:t>
      </w:r>
      <w:r>
        <w:rPr>
          <w:rtl w:val="true"/>
        </w:rPr>
        <w:t xml:space="preserve">, </w:t>
      </w:r>
      <w:r>
        <w:rPr>
          <w:rtl w:val="true"/>
        </w:rPr>
        <w:t>ובכלל זה פגיעה בילדיו הקטנים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אני מטילה על הנאשם קנס נמוך באופן יוצא דופן</w:t>
      </w:r>
      <w:r>
        <w:rPr>
          <w:rtl w:val="true"/>
        </w:rPr>
        <w:t xml:space="preserve">, </w:t>
      </w:r>
      <w:r>
        <w:rPr>
          <w:rtl w:val="true"/>
        </w:rPr>
        <w:t xml:space="preserve">ורק בשל נסיבותיו המיוחדות של הנאשם בסך של </w:t>
      </w:r>
      <w:r>
        <w:rPr/>
        <w:t>70,000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תשלומים שווים</w:t>
      </w:r>
      <w:r>
        <w:rPr>
          <w:rtl w:val="true"/>
        </w:rPr>
        <w:t xml:space="preserve">. </w:t>
      </w:r>
      <w:r>
        <w:rPr>
          <w:rtl w:val="true"/>
        </w:rPr>
        <w:t xml:space="preserve">התשלום הראשון ישולם ביום </w:t>
      </w:r>
      <w:r>
        <w:rPr/>
        <w:t>1/8/11</w:t>
      </w:r>
      <w:r>
        <w:rPr>
          <w:rtl w:val="true"/>
        </w:rPr>
        <w:t xml:space="preserve">, </w:t>
      </w:r>
      <w:r>
        <w:rPr>
          <w:rtl w:val="true"/>
        </w:rPr>
        <w:t>והתשלומים האחרים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בחודש בחודשים העוקבים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בנוסף לאמור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להוראות סעיף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יהא על הנאשם להפקיד בבית הדין עד ליום </w:t>
      </w:r>
      <w:r>
        <w:rPr/>
        <w:t>1/5/11</w:t>
      </w:r>
      <w:r>
        <w:rPr>
          <w:rtl w:val="true"/>
        </w:rPr>
        <w:t xml:space="preserve"> </w:t>
      </w:r>
      <w:r>
        <w:rPr>
          <w:rtl w:val="true"/>
        </w:rPr>
        <w:t>התחייבות להימנע מעבירה כדלקמן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ההתחייבות תהיה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כלומר תהיה בתוקף עד ליום </w:t>
      </w:r>
      <w:r>
        <w:rPr/>
        <w:t>10/3/14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ההתחייבות הינה להימנע מלעבור עבירה על סעיף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עובדים זרים</w:t>
        </w:r>
      </w:hyperlink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ההתחייבות הינה על סך </w:t>
      </w:r>
      <w:r>
        <w:rPr/>
        <w:t>1,000,000</w:t>
      </w:r>
      <w:r>
        <w:rPr>
          <w:rtl w:val="true"/>
        </w:rPr>
        <w:t xml:space="preserve"> ₪ </w:t>
      </w:r>
      <w:r>
        <w:rPr>
          <w:rtl w:val="true"/>
        </w:rPr>
        <w:t>לגבי כל עבירה על הסעיף האמור ולגבי כל עובד שלגביו תעבר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דיתה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פרוז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נשיאה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אילנית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z w:val="28"/>
          <w:szCs w:val="28"/>
          <w:rtl w:val="true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</w:rPr>
        <w:t>והרי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דיתה פרוז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ינין </w:t>
      </w:r>
      <w:r>
        <w:rPr>
          <w:color w:val="000000"/>
          <w:sz w:val="22"/>
          <w:szCs w:val="22"/>
        </w:rPr>
        <w:t>54678313-114/08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114/08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114-08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משרד התעשיה המסחר והתעסוקה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 סמרין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8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2011-03-13T01:40:00Z</dcterms:created>
  <dc:creator> </dc:creator>
  <dc:description/>
  <cp:keywords/>
  <dc:language>en-IL</dc:language>
  <cp:lastModifiedBy>orly</cp:lastModifiedBy>
  <dcterms:modified xsi:type="dcterms:W3CDTF">2014-10-25T09:06:00Z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משרד התעשיה המסחר והתעסוקה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סמרין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20110310</vt:lpwstr>
  </property>
  <property fmtid="{D5CDD505-2E9C-101B-9397-08002B2CF9AE}" pid="10" name="DELEMATA">
    <vt:lpwstr/>
  </property>
  <property fmtid="{D5CDD505-2E9C-101B-9397-08002B2CF9AE}" pid="11" name="JUDGE">
    <vt:lpwstr>דיתה פרוז'ינין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114;644</vt:lpwstr>
  </property>
  <property fmtid="{D5CDD505-2E9C-101B-9397-08002B2CF9AE}" pid="19" name="NEWPARTB">
    <vt:lpwstr>;</vt:lpwstr>
  </property>
  <property fmtid="{D5CDD505-2E9C-101B-9397-08002B2CF9AE}" pid="20" name="NEWPARTC">
    <vt:lpwstr>08;</vt:lpwstr>
  </property>
  <property fmtid="{D5CDD505-2E9C-101B-9397-08002B2CF9AE}" pid="21" name="NEWPROC">
    <vt:lpwstr>תפ;תפ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>114;644</vt:lpwstr>
  </property>
  <property fmtid="{D5CDD505-2E9C-101B-9397-08002B2CF9AE}" pid="27" name="PROCYEAR">
    <vt:lpwstr>08;08</vt:lpwstr>
  </property>
  <property fmtid="{D5CDD505-2E9C-101B-9397-08002B2CF9AE}" pid="28" name="PSAKDIN">
    <vt:lpwstr>גזר-דין</vt:lpwstr>
  </property>
  <property fmtid="{D5CDD505-2E9C-101B-9397-08002B2CF9AE}" pid="29" name="RemarkFileName">
    <vt:lpwstr>avoda a 08 114 842 htm</vt:lpwstr>
  </property>
  <property fmtid="{D5CDD505-2E9C-101B-9397-08002B2CF9AE}" pid="30" name="TYPE">
    <vt:lpwstr>5</vt:lpwstr>
  </property>
  <property fmtid="{D5CDD505-2E9C-101B-9397-08002B2CF9AE}" pid="31" name="TYPE_ABS_DATE">
    <vt:lpwstr>350020110310</vt:lpwstr>
  </property>
  <property fmtid="{D5CDD505-2E9C-101B-9397-08002B2CF9AE}" pid="32" name="TYPE_N_DATE">
    <vt:lpwstr>35020110310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