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בחיפה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11504-06-08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 דוד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בכירה אורית קנטור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רגב בן דוד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הדס יציב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שירה בס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רוזן ממשרדה של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תמי אולמן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71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'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214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1981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5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9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הגנה על הציבור מפני ביצוע עבירות מין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תשס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2006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7" w:name="PsakDin"/>
      <w:bookmarkEnd w:id="7"/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מואשם בעבירות של החזקת פרסום תועבה בדמות קטין – עבירות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214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פגיעה בפרטיות –עבירה לפי </w:t>
      </w:r>
      <w:hyperlink r:id="rId13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cs="Arial" w:ascii="Arial" w:hAnsi="Arial"/>
          </w:rPr>
          <w:t>1</w:t>
        </w:r>
      </w:hyperlink>
      <w:r>
        <w:rPr>
          <w:rFonts w:cs="Arial" w:ascii="Arial" w:hAnsi="Arial"/>
          <w:rtl w:val="true"/>
        </w:rPr>
        <w:t xml:space="preserve">)+ </w:t>
      </w:r>
      <w:hyperlink r:id="rId14"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rtl w:val="true"/>
          </w:rPr>
          <w:t>חוק הגנת הפרטיות</w:t>
        </w:r>
      </w:hyperlink>
      <w:r>
        <w:rPr>
          <w:rFonts w:ascii="Arial" w:hAnsi="Arial" w:cs="Arial"/>
          <w:rtl w:val="true"/>
        </w:rPr>
        <w:t xml:space="preserve"> והחזקת חלק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אביזר או תחמושת של כלי נשק – עבירה לפי </w:t>
      </w:r>
      <w:hyperlink r:id="rId1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9" w:name="ABSTRACT_END"/>
      <w:bookmarkEnd w:id="9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על פי כתב האישום בתאריך </w:t>
      </w:r>
      <w:r>
        <w:rPr>
          <w:rFonts w:cs="Arial" w:ascii="Arial" w:hAnsi="Arial"/>
        </w:rPr>
        <w:t>21/09/07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הציץ הנאשם דרך חלון חדר האמבטיה של דירת שכניו על מנת לנסות ולצפות בבתם הקטינה בת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במערומיה שעה שהיא מתקלחת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ועשה כן במהלך מחצית השנה עובר למועד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היה מציץ דרך חלון חדר האמבטיה ופגע בפרטיות משפחת השכנים כשמטרתו לצפות בבתם בת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במערומיה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בחיפוש שנערך ביום </w:t>
      </w:r>
      <w:r>
        <w:rPr>
          <w:rFonts w:cs="Arial" w:ascii="Arial" w:hAnsi="Arial"/>
        </w:rPr>
        <w:t>08/10/07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במחשבו האישי של הנאשם נמצא הנאשם מחזיק ברשותו מספר רב של סרטים פורנוגראפיים ותמונות פדופיליות של קטינות כמתואר בעובדה א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שהינם פרסומי תועבה ובהם דמותו של 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ונמצא מחזיק ברשותו מחסנית צולבת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כדורי רובה וכדורי אקדח בכמות ומהסוגים כמפורט בעובדה א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09/06/09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חזר בו הנאשם מכפירתו והודה בעובדות כתב האישום בטרם החלה שמיעת הראיות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בית המשפט הרשיע אותו בעבירות שיוחסו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לבקשת הסנגורית הורה על קבלת תסקיר שירות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התנגדות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כך התקבלו בעניינו של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תסקירים של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חוות דעת של הממונה על עבודות שירות וחוות דעת והערכת מסוכנות שנערכה על ידי המרכז להערכת המסוכנות על ידי המרכז לבריאות הנפש באר יעקב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 ציונה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ן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12/09/10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טענו הצדדים לעונש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עתר להטיל מאסר בפועל לתקופה ממושכת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לדבריו הנאשם הוא אדם מסוכן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בעבירה על גבול עבירות המין שיש לה השלכות ופוטנציאל של מסוכנות רבה והציג פסיקה התומכת בטיעוניו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אף כי הנאשם לא התדרדר לבצע מעשי תועבה בקטינים בעצמו ולא הפיץ את החומר שהחזיק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מטרת האיסור היא למנוע את ההמשך והקלות בה ניתן להפיץ חומר כזה היכול לשמש לעבירות מין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הטיפול שצריך לתת לנאשם יכול להיעשות במסגרת המאסר או כשיסיים לרצותו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טענה כי הפסיקה שהציג התובע דווקא תומכת בטיעוניי ההגנה לעונש שכן בחלק מפסקי הדין בהם מדובר בעבירות דומות נדונו הנאשמים למאסר מותנה בלבד או לצו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כאשר היה מדובר בעבירות חמורות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בהודייתו חסך מזמנו של בית המשפט וחסך את הצורך בהעדת המתלוננת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מביע חרטה על מעשיו והודה בהזדמנות הראשונה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אשתו בחודש השביעי להריונה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שהצליחה להיכנס בקושי רב להריון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מטופל על ידי שירות המבחן לאורך 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ושירות המבחן ממליץ להמשיך את הטיפול לאור הירתמות הנאשם לטיפול והצלחתו להשתלב 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אין כל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העונש בצד העבירה בגינה הורשע הנאשם – החזקת פרסום תועבה ההוא של שנת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כלומר העונש הנמוך ביותר שניתן לעבירות מין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תסקירי שירות המבחן הנאשם השתתף בצורה עקבית וקבועה במפגשים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לפתח בטחון להיחשף ולבטא את הדילמות והקשיים סביב סטייתו המינית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נוטה להדחיק את מלוא משמעות של נטייתו המינית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מוטיבציה להתמודד עם דחפיו על מנת להימנע מפגיעה חוזרת בקטינים ובילדיו לעתיד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מתקשה עדיין להשלים עם סטייתו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להכיר בדחפיו ומתמודד עם מעשיו בצורה הגנתית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נתרם מהתהליך הטיפולי כאשר הפיקוח בעיבוד של התכנים הקשורים לעבירותו נמצאים במוקד הטיפול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מסייעים לו לשלוט בעצמו ולהימנע מעבירות כגון אלה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 גם המליץ שירות המבחן להימנע מלהטיל על הנאשם ענישה כמאסר שעלול לגרום לו לנסיגה רגשית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עיסוק במגננה ופגיעה באמון בו החל לפתח בקבוצה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והמליץ על ענישה מוחשית בדמות של עבודות שירות בנוסף לצו מבחן למשך שנתיים במהלכו ימשיך להשתתף בטיפול הייעודי לעברייני מין בפיקוח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חוות הדעת של המרכז למסוכנות המתבססת על שקלול הפקטורים הסטטיים והדינאמיים ולצד ההתרשמות הקלינית מן הנאשם מדובר באדם בעל רמת מסוכנות מינית בינונית לטווח הארוך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פי הפקטורים הסטאטיים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גורמים ממתני מסוכנות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הנאשם שמר על רצף תעסוקתי לאורך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היסטוריה של קשר זוגי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 ולא ידוע על רקע של התמכרות לחומרים פסיכו אקטיביים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גורמים מגבירי מסוכנות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גילו של הנאשם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ביצוע עבירות כלפי קורבן שאינה בת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ללא מגע מיני עם הקורבן אשר בוצעו בחלקן במקום ציבורי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הפקטורים הדינאמיים – הנאשם בעל סטייה מיני אגוסינטונית המשולבת מאלמנטים פדופילים וויאריסטיים המגלה תובנה פורמאלית בלבד ביחס למניעים שהובילו אותו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עדות לקיומה של הפרעת אישיות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קווי אישיות פסיכופטיים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הגנתי ואינו אמין בדיווחיו אודות עולמו הפנימי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 משפחתו מודעים לחומרת מעשיו ותומכים בכך שיקבל סיוע טיפולי והנאשם נמצא כעת בראשיתו של תהליך טיפולי במסגרת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יש לציין כי בדיעבד התברר שלא היה מקום לקבל חוות דעת של המרכז להערכת מסוכנות שכן העבירות בגינן הורשע הנאשם אינן בגדר עבירות מין כהגדרתן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ההגנה על הציבור מפני עבריני מין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–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הנאשם נבדק ונערכה הערכה למסוכנותו תוך טעות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למרות זאת בית המשפט הורה כי חוות הדעת תועבר לבית המשפט – באופן חריג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הופנה לממונה על עבודות שירות ונמצא מתאים לרצות עבודות שירות במקום מאסר על בסיס הערכת גורמי הטיפול שרמת מסוכנותו בינונית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משתתף באופן עקבי בקבוצה ייעודית לטיפול בעברייני מין ועל כן גם ניתן להשמה בכפוף להמשך ההשתתפות בקבוצה הטיפולית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הורשע בשלוש עבירות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פרסומי תועבה בדמות 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השנייה פגיעה בפרטיות והשלישית החזקת תחמושת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מיקד את טיעוניו בעבירה של החזקת חומר תועבה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בצדק ציינה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כי דווקא הפסיקה שהגיש יש בה לחזק את טיעוניה של ההגנה דווקא שאין מקום להטיל על הנאשם מאסר לתקופה ממושכת אלא להסתפק במאסר מותנה וצו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עשה דרך ארוכה מאז הודה בפניי בעובדות כתב האישום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מטופל על ידי שירות המבחן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תקופה של למעלה משנה ואכן עמד בדרישות שירות המבחן והשתלב בטיפול כנדרש ממנו תוך שהוא מפנים את חומרת מעשיו ועובר תהליכים של פיתוח מודעות והתמודדות עם סטיותיו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אשתו של הנאשם מצויה בהריון מתקדם והתרשמתי כי הקשר עם בת הזוג חשוב לנאשם ומהווה עוגן בחייו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אין עבר פלילי ועד כה תפקד באורח נורמטיבי תוך שהוא עובד לפרנסתו וכאמור משתלב בקבוצה הטיפולית במסגרת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אכן מדובר בעבירות חמורות במיוחד ככל שהדבר מתייחס לפגיעה בפרטיותה של הקטינה ובני משפחה והחזקת החומר הפדופילי על גבי מחשבו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הנאשם לא הפיץ את החומר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פרסמו ולא העביר אותו לאחרים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גם לא עשה דבר פרט להתבוננות ואין כל אינדיקציה כי קיים מגע כלשהו עם הקטינה אשר בפרטיותה פגע כאמור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הערכת המרכז להערכת מסוכנות רמת מסוכנותו של הנאשם היא בינונית ועל פי התסקירים אם אכן יתמיד הנאשם בטיפול ניתן יהיה להפיג או לפחות להפחית במידה ניכרת את המסוכנות הטמונה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 אני סבורה כי עונש מאסר שירוצה בעבודות שירות בצירוף צו מבחן לתקופה המבוקשת על ידי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 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ומאסר מותנה צופה פני 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ישרתו את מטרות הענישה בעניינו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מחד גיסא יבהירו לו את חומרת מעשיו על דרך של ענישה מגבילת חירות במאסר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וירתיעו אותו מלבצע עבירות נוספות בעתיד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ומאידך גיסא יהא בהם כדי להפחית את המסוכנות הטמונה בו ויאפשרו לו לשקם את חייו ולעלות על דרך הישר שכן כאמור מדובר בנאשם שניהל עד כה אורח חיים נורמטיבי – ללא הרשעות קודמות או מעורבות פלילית קודמת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 אני דנה את הנאשם לעונשים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דנה את הנאשם למאסר בפועל בן שישה חודשי מאסר בפועל אותם ירצה בעבודות שירות במועצה הדתית נשר בהתאם לחוות דעת הממונה על עבודות שירות מיום </w:t>
      </w:r>
      <w:r>
        <w:rPr>
          <w:rFonts w:cs="Arial" w:ascii="Arial" w:hAnsi="Arial"/>
        </w:rPr>
        <w:t>22/08/10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דנה את הנאשם למאסר על תנאי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למשך שנתיים והתנאי הוא כי לא יעבור עבירה בגינה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מטילה על הנאשם צו מבחן למשך שנתיים במהלכו ימשיך להשתתף בטיפול ייעודי לעברייני מין בפיקוח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תשומת לב הנאשם להשלכות אי עמידה בתנאי צו המבחן בהתאם להוראת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71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התחמושת תושמד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Times New Roman" w:hAnsi="Times New Roman" w:cs="Times New Roman"/>
          <w:b/>
          <w:bCs/>
          <w:u w:val="single"/>
          <w:lang w:val="en-IL" w:eastAsia="en-IL"/>
        </w:rPr>
      </w:pPr>
      <w:r>
        <w:rPr>
          <w:b/>
          <w:b/>
          <w:bCs/>
          <w:u w:val="single"/>
          <w:rtl w:val="true"/>
        </w:rPr>
        <w:t xml:space="preserve">הנאשם יתייצב לריצוי עבודות השירות בתאריך </w:t>
      </w:r>
      <w:r>
        <w:rPr>
          <w:b/>
          <w:bCs/>
          <w:u w:val="single"/>
        </w:rPr>
        <w:t>05/12/10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בשעה </w:t>
      </w:r>
      <w:r>
        <w:rPr>
          <w:b/>
          <w:bCs/>
          <w:u w:val="single"/>
        </w:rPr>
        <w:t>08:00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במפקדת מחוז צפון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יחידת עבודות השירות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מתחם בית סוהר חרמון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cs="Times New Roman"/>
          <w:b/>
          <w:bCs/>
          <w:u w:val="single"/>
          <w:lang w:val="en-IL" w:eastAsia="en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b/>
          <w:b/>
          <w:bCs/>
          <w:u w:val="single"/>
          <w:rtl w:val="true"/>
        </w:rPr>
        <w:t>הנאשם מתחייב לעדכן את משרד הממונה בכל שינוי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אם יחול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בכתובת מגוריו והוא מודע לכך כי עליו לעמוד בתנאי הפיקוח וביקורות הפתע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וכי כל הפרה תביא להפסקה מנהלית ולריצוי העונש במאסר ממש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16/09/2010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אורית קנטור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קנטור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 בכירה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אלינה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</w:t>
      </w:r>
      <w:r>
        <w:rPr>
          <w:rFonts w:cs="FrankRuehl" w:ascii="Arial" w:hAnsi="Arial"/>
          <w:sz w:val="28"/>
          <w:szCs w:val="28"/>
          <w:rtl w:val="true"/>
        </w:rPr>
        <w:t>'</w:t>
      </w:r>
      <w:r>
        <w:rPr>
          <w:rFonts w:ascii="Arial" w:hAnsi="Arial" w:cs="FrankRuehl"/>
          <w:sz w:val="28"/>
          <w:sz w:val="28"/>
          <w:szCs w:val="28"/>
          <w:rtl w:val="true"/>
        </w:rPr>
        <w:t>רקסקי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/Users/liorb/Downloads/study2025-p2/SH-08-06-11504-153.doc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11504-06-08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רגב בן דוד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1a.e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14.3.b" TargetMode="External"/><Relationship Id="rId6" Type="http://schemas.openxmlformats.org/officeDocument/2006/relationships/hyperlink" Target="http://www.nevo.co.il/law/71631" TargetMode="External"/><Relationship Id="rId7" Type="http://schemas.openxmlformats.org/officeDocument/2006/relationships/hyperlink" Target="http://www.nevo.co.il/law/71631/2.1" TargetMode="External"/><Relationship Id="rId8" Type="http://schemas.openxmlformats.org/officeDocument/2006/relationships/hyperlink" Target="http://www.nevo.co.il/law/71631/5" TargetMode="External"/><Relationship Id="rId9" Type="http://schemas.openxmlformats.org/officeDocument/2006/relationships/hyperlink" Target="http://www.nevo.co.il/law/90730" TargetMode="External"/><Relationship Id="rId10" Type="http://schemas.openxmlformats.org/officeDocument/2006/relationships/hyperlink" Target="http://www.nevo.co.il/law/90730/2" TargetMode="External"/><Relationship Id="rId11" Type="http://schemas.openxmlformats.org/officeDocument/2006/relationships/hyperlink" Target="http://www.nevo.co.il/law/70301/214.3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1631/2.1" TargetMode="External"/><Relationship Id="rId14" Type="http://schemas.openxmlformats.org/officeDocument/2006/relationships/hyperlink" Target="http://www.nevo.co.il/law/71631/5" TargetMode="External"/><Relationship Id="rId15" Type="http://schemas.openxmlformats.org/officeDocument/2006/relationships/hyperlink" Target="http://www.nevo.co.il/law/7163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90730/2" TargetMode="External"/><Relationship Id="rId18" Type="http://schemas.openxmlformats.org/officeDocument/2006/relationships/hyperlink" Target="http://www.nevo.co.il/law/70301/71a.e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2016-07-04T13:09:00Z</dcterms:created>
  <dc:creator> </dc:creator>
  <dc:description/>
  <cp:keywords/>
  <dc:language>en-IL</dc:language>
  <cp:lastModifiedBy>hofit</cp:lastModifiedBy>
  <dcterms:modified xsi:type="dcterms:W3CDTF">2016-07-04T13:09:00Z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רגב בן דוד</vt:lpwstr>
  </property>
  <property fmtid="{D5CDD505-2E9C-101B-9397-08002B2CF9AE}" pid="4" name="CITY">
    <vt:lpwstr>חי'</vt:lpwstr>
  </property>
  <property fmtid="{D5CDD505-2E9C-101B-9397-08002B2CF9AE}" pid="5" name="DATE">
    <vt:lpwstr>20100916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אורית קנטור</vt:lpwstr>
  </property>
  <property fmtid="{D5CDD505-2E9C-101B-9397-08002B2CF9AE}" pid="9" name="LAWLISTTMP1">
    <vt:lpwstr>70301/214.3.b;144.a;071a.e</vt:lpwstr>
  </property>
  <property fmtid="{D5CDD505-2E9C-101B-9397-08002B2CF9AE}" pid="10" name="LAWLISTTMP2">
    <vt:lpwstr>71631/002.1;005</vt:lpwstr>
  </property>
  <property fmtid="{D5CDD505-2E9C-101B-9397-08002B2CF9AE}" pid="11" name="LAWLISTTMP3">
    <vt:lpwstr>90730/002</vt:lpwstr>
  </property>
  <property fmtid="{D5CDD505-2E9C-101B-9397-08002B2CF9AE}" pid="12" name="LAWYER">
    <vt:lpwstr>הדס יציב;שירה בס רוזן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11504</vt:lpwstr>
  </property>
  <property fmtid="{D5CDD505-2E9C-101B-9397-08002B2CF9AE}" pid="26" name="NEWPARTB">
    <vt:lpwstr>06</vt:lpwstr>
  </property>
  <property fmtid="{D5CDD505-2E9C-101B-9397-08002B2CF9AE}" pid="27" name="NEWPARTC">
    <vt:lpwstr>08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shalom sh 08 06 11504 153 htm</vt:lpwstr>
  </property>
  <property fmtid="{D5CDD505-2E9C-101B-9397-08002B2CF9AE}" pid="37" name="TYPE">
    <vt:lpwstr>3</vt:lpwstr>
  </property>
  <property fmtid="{D5CDD505-2E9C-101B-9397-08002B2CF9AE}" pid="38" name="TYPE_ABS_DATE">
    <vt:lpwstr>380020100916</vt:lpwstr>
  </property>
  <property fmtid="{D5CDD505-2E9C-101B-9397-08002B2CF9AE}" pid="39" name="TYPE_N_DATE">
    <vt:lpwstr>38020100916</vt:lpwstr>
  </property>
  <property fmtid="{D5CDD505-2E9C-101B-9397-08002B2CF9AE}" pid="40" name="VOLUME">
    <vt:lpwstr/>
  </property>
  <property fmtid="{D5CDD505-2E9C-101B-9397-08002B2CF9AE}" pid="41" name="WORDNUMPAGES">
    <vt:lpwstr>5</vt:lpwstr>
  </property>
</Properties>
</file>