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11513-04-10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לוס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bookmarkStart w:id="2" w:name="Seif11"/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bookmarkEnd w:id="2"/>
        <w:r>
          <w:rPr>
            <w:rStyle w:val="Hyperlink"/>
            <w:rFonts w:cs="FrankRuehl" w:ascii="FrankRuehl" w:hAnsi="FrankRuehl"/>
          </w:rPr>
          <w:t>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62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62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64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64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64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64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bookmarkStart w:id="3" w:name="Seif12"/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bookmarkEnd w:id="3"/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90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243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298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304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5">
        <w:r>
          <w:rPr>
            <w:rStyle w:val="Hyperlink"/>
            <w:rFonts w:ascii="FrankRuehl" w:hAnsi="FrankRuehl" w:cs="FrankRuehl"/>
            <w:rtl w:val="true"/>
          </w:rPr>
          <w:t>חוק הכנסת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1994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4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bookmarkStart w:id="5" w:name="LawTable_End"/>
      <w:bookmarkStart w:id="6" w:name="LawTable"/>
      <w:bookmarkEnd w:id="5"/>
      <w:bookmarkEnd w:id="6"/>
      <w:r>
        <w:rPr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bookmarkStart w:id="8" w:name="Seif3"/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8"/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7"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bookmarkStart w:id="9" w:name="Seif13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9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bookmarkStart w:id="10" w:name="Seif14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0"/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bookmarkStart w:id="11" w:name="Seif15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1"/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28.9.08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88-059-63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רכב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ממערב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למזרח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tl w:val="true"/>
        </w:rPr>
        <w:t xml:space="preserve">,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נתיבים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מסלולי</w:t>
      </w:r>
      <w:r>
        <w:rPr>
          <w:rtl w:val="true"/>
        </w:rPr>
        <w:t xml:space="preserve">,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) ;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;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LastJudge"/>
      <w:bookmarkStart w:id="15" w:name="LastJudge"/>
      <w:bookmarkEnd w:id="1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הפעוט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וברשלנות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התאונה</w:t>
      </w:r>
      <w:r>
        <w:rPr>
          <w:rtl w:val="true"/>
        </w:rPr>
        <w:t xml:space="preserve">).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tl w:val="true"/>
        </w:rPr>
        <w:t xml:space="preserve">, </w:t>
      </w:r>
      <w:r>
        <w:rPr>
          <w:rtl w:val="true"/>
        </w:rPr>
        <w:t>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</w:t>
      </w:r>
      <w:r>
        <w:rPr>
          <w:rtl w:val="true"/>
        </w:rPr>
        <w:t xml:space="preserve">, </w:t>
      </w:r>
      <w:r>
        <w:rPr>
          <w:rtl w:val="true"/>
        </w:rPr>
        <w:t>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וקונטוזיה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bookmarkStart w:id="16" w:name="Seif4"/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6"/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bookmarkStart w:id="17" w:name="Seif16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7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bookmarkStart w:id="18" w:name="Seif17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8"/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bookmarkStart w:id="19" w:name="Seif18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9"/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נוסח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ההפקרה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12.4.10</w:t>
      </w:r>
      <w:r>
        <w:rPr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41">
        <w:bookmarkStart w:id="20" w:name="Seif19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20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43">
        <w:bookmarkStart w:id="21" w:name="Seif20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21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/>
      </w:pPr>
      <w:r>
        <w:rPr>
          <w:rtl w:val="true"/>
        </w:rPr>
        <w:t>"</w:t>
      </w:r>
      <w:r>
        <w:rPr/>
        <w:t>64</w:t>
      </w:r>
      <w:r>
        <w:rPr>
          <w:rtl w:val="true"/>
        </w:rPr>
        <w:t>א</w:t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1440" w:start="4320" w:end="0"/>
        <w:jc w:val="center"/>
        <w:rPr>
          <w:bCs/>
        </w:rPr>
      </w:pPr>
      <w:bookmarkStart w:id="22" w:name="LastJudge"/>
      <w:bookmarkEnd w:id="22"/>
      <w:r>
        <w:rPr>
          <w:bCs/>
          <w:rtl w:val="true"/>
        </w:rPr>
        <w:t>יחיד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ובין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ינתן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מבחן</w:t>
      </w:r>
      <w:r>
        <w:rPr>
          <w:bCs/>
          <w:rtl w:val="true"/>
        </w:rPr>
        <w:t>."</w:t>
      </w:r>
    </w:p>
    <w:p>
      <w:pPr>
        <w:pStyle w:val="Normal"/>
        <w:spacing w:lineRule="auto" w:line="360"/>
        <w:ind w:hanging="1440" w:start="4320"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7.11.11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)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התיקון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hyperlink r:id="rId45">
        <w:bookmarkStart w:id="23" w:name="Seif21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23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46">
        <w:bookmarkStart w:id="24" w:name="Seif22"/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bookmarkEnd w:id="24"/>
        <w:r>
          <w:rPr>
            <w:rStyle w:val="Hyperlink"/>
            <w:b/>
            <w:bCs/>
          </w:rPr>
          <w:t>64</w:t>
        </w:r>
        <w:r>
          <w:rPr>
            <w:rStyle w:val="Hyperlink"/>
            <w:b/>
            <w:b/>
            <w:bCs/>
            <w:rtl w:val="true"/>
          </w:rPr>
          <w:t>א</w:t>
        </w:r>
      </w:hyperlink>
      <w:r>
        <w:rPr>
          <w:rtl w:val="true"/>
        </w:rPr>
        <w:t xml:space="preserve">).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25" w:name="Seif94"/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bookmarkEnd w:id="25"/>
      <w:r>
        <w:rPr>
          <w:rtl w:val="true"/>
        </w:rPr>
        <w:t>הרלוונטי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64</w:t>
      </w:r>
      <w:r>
        <w:rPr>
          <w:rtl w:val="true"/>
        </w:rPr>
        <w:t>א</w:t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בתאונה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...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bookmarkStart w:id="26" w:name="Seif23"/>
      <w:bookmarkStart w:id="27" w:name="Seif1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26"/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bookmarkEnd w:id="27"/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</w:t>
      </w:r>
      <w:r>
        <w:rPr>
          <w:rtl w:val="true"/>
        </w:rPr>
        <w:t>) ..."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ab/>
        <w:tab/>
        <w:tab/>
        <w:tab/>
        <w:tab/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12.4.10</w:t>
      </w:r>
      <w:r>
        <w:rPr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2.7.13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hyperlink r:id="rId47">
        <w:bookmarkStart w:id="28" w:name="Seif24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28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hyperlink r:id="rId49">
        <w:bookmarkStart w:id="29" w:name="Seif25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29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hyperlink r:id="rId50">
        <w:bookmarkStart w:id="30" w:name="Seif26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30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bookmarkStart w:id="31" w:name="Seif27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1"/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bookmarkStart w:id="32" w:name="Seif28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32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33" w:name="Seif29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3"/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34" w:name="Seif30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4"/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53">
        <w:bookmarkStart w:id="35" w:name="Seif31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35"/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tl w:val="true"/>
        </w:rPr>
        <w:t xml:space="preserve">,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36" w:name="Seif32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6"/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37" w:name="Seif33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7"/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bookmarkStart w:id="38" w:name="Seif34"/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End w:id="38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</w:t>
      </w:r>
      <w:bookmarkStart w:id="39" w:name="Seif95"/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הבסיסי</w:t>
      </w:r>
      <w:r>
        <w:rPr>
          <w:rtl w:val="true"/>
        </w:rPr>
        <w:t xml:space="preserve"> </w:t>
      </w:r>
      <w:bookmarkEnd w:id="39"/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רטרוספקטיבית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שתחולתה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ואילך</w:t>
      </w:r>
      <w:r>
        <w:rPr>
          <w:rFonts w:cs="David"/>
          <w:rtl w:val="true"/>
        </w:rPr>
        <w:t xml:space="preserve">. </w:t>
      </w:r>
      <w:hyperlink r:id="rId55">
        <w:bookmarkStart w:id="40" w:name="Seif35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40"/>
        <w:r>
          <w:rPr>
            <w:rStyle w:val="Hyperlink"/>
            <w:rFonts w:cs="David"/>
          </w:rPr>
          <w:t>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אין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למפרע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360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חיקוק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המאוחר</w:t>
      </w:r>
      <w:r>
        <w:rPr>
          <w:rFonts w:cs="David"/>
          <w:rtl w:val="true"/>
        </w:rPr>
        <w:t>.</w:t>
      </w:r>
    </w:p>
    <w:p>
      <w:pPr>
        <w:pStyle w:val="BodyText"/>
        <w:ind w:start="360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חיקוק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המאוחר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</w:t>
      </w:r>
      <w:r>
        <w:rPr>
          <w:rFonts w:cs="David"/>
          <w:rtl w:val="true"/>
        </w:rPr>
        <w:t xml:space="preserve">". 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bookmarkStart w:id="41" w:name="Seif96"/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bookmarkEnd w:id="41"/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רטרוספקטיבית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bookmarkStart w:id="42" w:name="Seif5"/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42"/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8"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/>
        <w:t>4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  <w:tab/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עשייתה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;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יופסקו</w:t>
      </w:r>
      <w:r>
        <w:rPr>
          <w:rtl w:val="true"/>
        </w:rPr>
        <w:t xml:space="preserve">;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מההרשעה</w:t>
      </w:r>
      <w:r>
        <w:rPr>
          <w:rtl w:val="true"/>
        </w:rPr>
        <w:t xml:space="preserve">. </w:t>
      </w:r>
    </w:p>
    <w:p>
      <w:pPr>
        <w:pStyle w:val="Heading1"/>
        <w:ind w:firstLine="720" w:start="2160" w:end="0"/>
        <w:jc w:val="start"/>
        <w:rPr>
          <w:rFonts w:cs="David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חיקוק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עשיית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להגדרתה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; 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 –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החיקוק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60">
        <w:bookmarkStart w:id="43" w:name="Seif36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43"/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למפרע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לגבי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הליך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תלוי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6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7853/05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רחמיאן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27.11.06</w:t>
      </w:r>
      <w:r>
        <w:rPr>
          <w:rFonts w:cs="David"/>
          <w:rtl w:val="true"/>
        </w:rPr>
        <w:t xml:space="preserve">) </w:t>
      </w:r>
      <w:bookmarkStart w:id="44" w:name="Seif6"/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bookmarkEnd w:id="44"/>
      <w:r>
        <w:rPr>
          <w:rFonts w:cs="David"/>
        </w:rPr>
        <w:t>14</w:t>
      </w:r>
      <w:r>
        <w:rPr>
          <w:rFonts w:cs="David"/>
          <w:rtl w:val="true"/>
        </w:rPr>
        <w:t xml:space="preserve"> –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ברק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63">
        <w:bookmarkStart w:id="45" w:name="Seif37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45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4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5">
        <w:bookmarkStart w:id="46" w:name="Seif38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46"/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ויחול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bookmarkStart w:id="47" w:name="Seif97"/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הבסיסי</w:t>
      </w:r>
      <w:r>
        <w:rPr>
          <w:rtl w:val="true"/>
        </w:rPr>
        <w:t xml:space="preserve"> </w:t>
      </w:r>
      <w:bookmarkEnd w:id="47"/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רטרוספקטיבית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hyperlink r:id="rId67">
        <w:bookmarkStart w:id="48" w:name="Seif39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48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</w:t>
      </w:r>
      <w:bookmarkStart w:id="49" w:name="Seif40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49"/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בפועל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bookmarkStart w:id="50" w:name="Seif91"/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bookmarkEnd w:id="50"/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bookmarkStart w:id="51" w:name="Seif98"/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bookmarkEnd w:id="51"/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bookmarkStart w:id="52" w:name="Seif41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52"/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: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לבלה</w:t>
      </w:r>
      <w:r>
        <w:rPr>
          <w:rtl w:val="true"/>
        </w:rPr>
        <w:t xml:space="preserve"> </w:t>
      </w:r>
      <w:r>
        <w:rPr>
          <w:rFonts w:cs="David"/>
          <w:i/>
          <w:iCs/>
          <w:rtl w:val="true"/>
        </w:rPr>
        <w:t>[</w:t>
      </w:r>
      <w:r>
        <w:rPr>
          <w:rFonts w:cs="David"/>
          <w:i/>
          <w:i/>
          <w:iCs/>
          <w:rtl w:val="true"/>
        </w:rPr>
        <w:t>האם</w:t>
      </w:r>
      <w:r>
        <w:rPr>
          <w:i/>
          <w:i/>
          <w:iCs/>
          <w:rtl w:val="true"/>
        </w:rPr>
        <w:t xml:space="preserve"> </w:t>
      </w:r>
      <w:r>
        <w:rPr>
          <w:rFonts w:cs="David"/>
          <w:i/>
          <w:i/>
          <w:iCs/>
          <w:rtl w:val="true"/>
        </w:rPr>
        <w:t>–</w:t>
      </w:r>
      <w:r>
        <w:rPr>
          <w:i/>
          <w:i/>
          <w:iCs/>
          <w:rtl w:val="true"/>
        </w:rPr>
        <w:t xml:space="preserve"> </w:t>
      </w:r>
      <w:r>
        <w:rPr>
          <w:rFonts w:cs="David"/>
          <w:i/>
          <w:i/>
          <w:iCs/>
          <w:rtl w:val="true"/>
        </w:rPr>
        <w:t>ה</w:t>
      </w:r>
      <w:r>
        <w:rPr>
          <w:rFonts w:cs="David"/>
          <w:i/>
          <w:iCs/>
          <w:rtl w:val="true"/>
        </w:rPr>
        <w:t>'</w:t>
      </w:r>
      <w:r>
        <w:rPr>
          <w:rFonts w:cs="David"/>
          <w:i/>
          <w:i/>
          <w:iCs/>
          <w:rtl w:val="true"/>
        </w:rPr>
        <w:t>א</w:t>
      </w:r>
      <w:r>
        <w:rPr>
          <w:rFonts w:cs="David"/>
          <w:i/>
          <w:iCs/>
          <w:rtl w:val="true"/>
        </w:rPr>
        <w:t>'</w:t>
      </w:r>
      <w:r>
        <w:rPr>
          <w:rFonts w:cs="David"/>
          <w:i/>
          <w:i/>
          <w:iCs/>
          <w:rtl w:val="true"/>
        </w:rPr>
        <w:t>ש</w:t>
      </w:r>
      <w:r>
        <w:rPr>
          <w:rFonts w:cs="David"/>
          <w:i/>
          <w:iCs/>
          <w:rtl w:val="true"/>
        </w:rPr>
        <w:t>']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להזעיק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כשהוא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יודע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Fonts w:cs="David"/>
          <w:rtl w:val="true"/>
        </w:rPr>
        <w:t xml:space="preserve">." 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 xml:space="preserve">)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החיקוק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68">
        <w:bookmarkStart w:id="53" w:name="Seif42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53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ודוק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hyperlink r:id="rId69">
        <w:bookmarkStart w:id="54" w:name="Seif43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54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ידע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החלופה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0">
        <w:bookmarkStart w:id="55" w:name="Seif44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55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1">
        <w:bookmarkStart w:id="56" w:name="Seif45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56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hyperlink r:id="rId72">
        <w:bookmarkStart w:id="57" w:name="Seif46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57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bookmarkStart w:id="58" w:name="Seif99"/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בתוכו</w:t>
      </w:r>
      <w:r>
        <w:rPr>
          <w:rtl w:val="true"/>
        </w:rPr>
        <w:t xml:space="preserve"> </w:t>
      </w:r>
      <w:bookmarkEnd w:id="58"/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החלופות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פוצל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</w:t>
      </w:r>
      <w:r>
        <w:rPr>
          <w:rtl w:val="true"/>
        </w:rPr>
        <w:t xml:space="preserve"> </w:t>
      </w:r>
      <w:bookmarkStart w:id="59" w:name="Seif7"/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bookmarkEnd w:id="59"/>
      <w:r>
        <w:rPr>
          <w:rFonts w:cs="David"/>
          <w:rtl w:val="true"/>
        </w:rPr>
        <w:t>קטנים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</w:t>
      </w:r>
      <w:hyperlink r:id="rId73">
        <w:bookmarkStart w:id="60" w:name="Seif47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0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ל</w:t>
      </w:r>
      <w:hyperlink r:id="rId74">
        <w:bookmarkStart w:id="61" w:name="Seif48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1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Fonts w:cs="David"/>
          <w:rtl w:val="true"/>
        </w:rPr>
        <w:t xml:space="preserve">. </w:t>
        <w:tab/>
      </w:r>
      <w:r>
        <w:rPr>
          <w:rFonts w:cs="David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hyperlink r:id="rId75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</w:rPr>
        <w:t>104</w:t>
      </w:r>
      <w:r>
        <w:rPr>
          <w:rFonts w:cs="David"/>
          <w:rtl w:val="true"/>
        </w:rPr>
        <w:t>) ((</w:t>
      </w:r>
      <w:r>
        <w:rPr>
          <w:rFonts w:cs="David"/>
          <w:rtl w:val="true"/>
        </w:rPr>
        <w:t>החמרת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התשע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פורסמה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בהצעות</w:t>
      </w:r>
      <w:r>
        <w:rPr>
          <w:rtl w:val="true"/>
        </w:rPr>
        <w:t xml:space="preserve"> </w:t>
      </w:r>
      <w:hyperlink r:id="rId7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הכנסת</w:t>
        </w:r>
      </w:hyperlink>
      <w:r>
        <w:rPr>
          <w:rtl w:val="true"/>
        </w:rPr>
        <w:t xml:space="preserve"> </w:t>
      </w:r>
      <w:r>
        <w:rPr>
          <w:rFonts w:cs="David"/>
        </w:rPr>
        <w:t>394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28.6.11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198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bookmarkStart w:id="62" w:name="Seif49"/>
      <w:r>
        <w:rPr>
          <w:rFonts w:cs="David"/>
          <w:rtl w:val="true"/>
        </w:rPr>
        <w:t>סעיף</w:t>
      </w:r>
      <w:r>
        <w:rPr>
          <w:rFonts w:cs="David"/>
          <w:rtl w:val="true"/>
        </w:rPr>
        <w:t xml:space="preserve">, </w:t>
      </w:r>
      <w:bookmarkEnd w:id="62"/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ראשית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מוצע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לקבוע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הפקרה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ברשלנות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b/>
          <w:b/>
          <w:bCs/>
          <w:rtl w:val="true"/>
        </w:rPr>
        <w:t>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ולהזעיק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7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הרשלנות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78">
        <w:bookmarkStart w:id="63" w:name="Seif50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3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המוצע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הפקרה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שתכלול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ההתנהגויות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הקבועות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בנפרד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עצירה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הזעיק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79">
        <w:bookmarkStart w:id="64" w:name="Seif51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4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המוצע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להתקיימותן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עיניים</w:t>
      </w:r>
      <w:r>
        <w:rPr>
          <w:rFonts w:cs="David"/>
          <w:rtl w:val="true"/>
        </w:rPr>
        <w:t>".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0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שינוי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1">
        <w:bookmarkStart w:id="65" w:name="Seif52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5"/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בכח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ליהנות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83">
        <w:bookmarkStart w:id="66" w:name="Seif53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66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4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דווקנית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להיצמד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bookmarkStart w:id="67" w:name="Seif54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67"/>
      <w:r>
        <w:rPr>
          <w:rFonts w:cs="David"/>
          <w:rtl w:val="true"/>
        </w:rPr>
        <w:t>בפקודת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 xml:space="preserve">, </w:t>
      </w:r>
      <w:bookmarkStart w:id="68" w:name="Seif55"/>
      <w:bookmarkStart w:id="69" w:name="Seif2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68"/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bookmarkEnd w:id="69"/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שב</w:t>
      </w:r>
      <w:hyperlink r:id="rId85">
        <w:bookmarkStart w:id="70" w:name="Seif56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70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להידחות</w:t>
      </w:r>
      <w:r>
        <w:rPr>
          <w:rFonts w:cs="David"/>
          <w:rtl w:val="true"/>
        </w:rPr>
        <w:t xml:space="preserve">. </w:t>
      </w:r>
      <w:hyperlink r:id="rId86">
        <w:bookmarkStart w:id="71" w:name="Seif57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71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פוצל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7">
        <w:bookmarkStart w:id="72" w:name="Seif58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72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</w:t>
      </w:r>
      <w:hyperlink r:id="rId88">
        <w:bookmarkStart w:id="73" w:name="Seif59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73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הבדיקה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9">
        <w:bookmarkStart w:id="74" w:name="Seif60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74"/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9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מהותית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הקלה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טכנית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bookmarkStart w:id="75" w:name="Seif8"/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bookmarkEnd w:id="75"/>
      <w:r>
        <w:rPr>
          <w:rFonts w:cs="David"/>
          <w:rtl w:val="true"/>
        </w:rPr>
        <w:t>הקטנים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bookmarkStart w:id="76" w:name="Seif61"/>
      <w:r>
        <w:rPr>
          <w:rFonts w:cs="David"/>
          <w:rtl w:val="true"/>
        </w:rPr>
        <w:t>סעיף</w:t>
      </w:r>
      <w:r>
        <w:rPr>
          <w:rFonts w:cs="David"/>
          <w:rtl w:val="true"/>
        </w:rPr>
        <w:t xml:space="preserve">. </w:t>
      </w:r>
      <w:bookmarkEnd w:id="76"/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bookmarkStart w:id="77" w:name="Seif9"/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bookmarkEnd w:id="77"/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גרסת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ציטוטים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בהודעותיו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התרחשותה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bookmarkStart w:id="78" w:name="Seif62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78"/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ציטוט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–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הציטוט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שרל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נטי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לחצתי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הרמזור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הרגליים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ראיתי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המקרה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נבהלתי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התקהלו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וראיתי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מתחת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".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ab/>
        <w:tab/>
        <w:tab/>
        <w:tab/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bookmarkStart w:id="79" w:name="Seif63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79"/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ציטוט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–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bookmarkStart w:id="80" w:name="Seif90"/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מהציטוט</w:t>
      </w:r>
      <w:r>
        <w:rPr>
          <w:rtl w:val="true"/>
        </w:rPr>
        <w:t xml:space="preserve"> </w:t>
      </w:r>
      <w:bookmarkEnd w:id="80"/>
      <w:r>
        <w:rPr>
          <w:rFonts w:cs="David"/>
          <w:rtl w:val="true"/>
        </w:rPr>
        <w:t>שרל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bookmarkStart w:id="81" w:name="Seif100"/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bookmarkEnd w:id="81"/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והתינוק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מהמשאית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אני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ראיתי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שהוציאו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הסתובבתי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שמשכו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הרכב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להוציא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משם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המראה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מחריד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ולכן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יכולתי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להישאר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שם</w:t>
      </w:r>
      <w:r>
        <w:rPr>
          <w:rFonts w:cs="David"/>
          <w:rtl w:val="true"/>
        </w:rPr>
        <w:t>".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firstLine="720" w:start="216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הודעותיו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התרחשות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ונבהל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-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46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32</w:t>
      </w:r>
      <w:r>
        <w:rPr>
          <w:rFonts w:cs="David"/>
          <w:rtl w:val="true"/>
        </w:rPr>
        <w:t xml:space="preserve"> 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49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;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– </w:t>
      </w:r>
      <w:r>
        <w:rPr>
          <w:rFonts w:cs="David"/>
        </w:rPr>
        <w:t>14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hyperlink r:id="rId91">
        <w:bookmarkStart w:id="82" w:name="Seif64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82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בהיותו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2">
        <w:bookmarkStart w:id="83" w:name="Seif65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83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3">
        <w:bookmarkStart w:id="84" w:name="Seif66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84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הקלה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hyperlink r:id="rId94">
        <w:bookmarkStart w:id="85" w:name="Seif67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85"/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9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6">
        <w:bookmarkStart w:id="86" w:name="Seif68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86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מתייחסת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bookmarkStart w:id="87" w:name="Seif69"/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bookmarkEnd w:id="87"/>
      <w:r>
        <w:rPr>
          <w:rFonts w:cs="David"/>
          <w:b/>
          <w:b/>
          <w:bCs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31.5.12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פוחזת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תעבורתי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37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26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33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bookmarkStart w:id="88" w:name="Seif81"/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bookmarkEnd w:id="88"/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9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bookmarkStart w:id="89" w:name="Seif86"/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bookmarkEnd w:id="89"/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10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bookmarkStart w:id="90" w:name="Seif87"/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bookmarkEnd w:id="90"/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)).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bookmarkStart w:id="91" w:name="Seif82"/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bookmarkEnd w:id="91"/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bookmarkStart w:id="92" w:name="Seif88"/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bookmarkEnd w:id="92"/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תליא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. </w:t>
      </w:r>
      <w:r>
        <w:rPr>
          <w:rtl w:val="true"/>
        </w:rPr>
        <w:t>יוצ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משפטי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2">
        <w:bookmarkStart w:id="93" w:name="Seif70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93"/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104">
        <w:bookmarkStart w:id="94" w:name="Seif71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94"/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ובמידת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הספציפיות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0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(</w:t>
      </w:r>
      <w:r>
        <w:rPr>
          <w:rFonts w:cs="David"/>
        </w:rPr>
        <w:t>5.8.13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 </w:t>
      </w:r>
      <w:bookmarkStart w:id="95" w:name="Seif83"/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bookmarkEnd w:id="95"/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bookmarkStart w:id="96" w:name="Seif92"/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bookmarkEnd w:id="96"/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שנפגע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ומידת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הפגיעה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בו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bookmarkStart w:id="97" w:name="Seif89"/>
      <w:r>
        <w:rPr>
          <w:rFonts w:cs="David"/>
          <w:rtl w:val="true"/>
        </w:rPr>
        <w:t>פסקאות</w:t>
      </w:r>
      <w:r>
        <w:rPr>
          <w:rtl w:val="true"/>
        </w:rPr>
        <w:t xml:space="preserve"> </w:t>
      </w:r>
      <w:bookmarkEnd w:id="97"/>
      <w:r>
        <w:rPr>
          <w:rFonts w:cs="David"/>
        </w:rPr>
        <w:t>13</w:t>
      </w:r>
      <w:r>
        <w:rPr>
          <w:rFonts w:cs="David"/>
          <w:rtl w:val="true"/>
        </w:rPr>
        <w:t xml:space="preserve"> –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hyperlink r:id="rId10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9628/09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שרעבי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1.3.12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הראשון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רובד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רפואי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שמטרתו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הישארות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הפצוע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להגעתם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הסתלקות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אינפורמציה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Fonts w:cs="David"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השני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רובד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מוסרי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מלהתחמק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ודוק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ולהמתין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רבדיו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עזיבת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במלאכתם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כוזבת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נגנב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מדיניות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הענישה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הנוהגת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יצורים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bookmarkStart w:id="98" w:name="Seif84"/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bookmarkEnd w:id="98"/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חסן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קטגוריות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ההפקרה</w:t>
      </w:r>
      <w:r>
        <w:rPr>
          <w:rFonts w:cs="David"/>
          <w:b/>
          <w:bCs/>
          <w:rtl w:val="true"/>
        </w:rPr>
        <w:t>"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/>
          <w:bCs/>
          <w:rtl w:val="true"/>
        </w:rPr>
        <w:t>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ההפקרה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נמצא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הפקרה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עביר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ברשלנות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108">
        <w:bookmarkStart w:id="99" w:name="Seif10"/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bookmarkEnd w:id="99"/>
        <w:r>
          <w:rPr>
            <w:rStyle w:val="Hyperlink"/>
            <w:rFonts w:cs="David"/>
          </w:rPr>
          <w:t>90</w:t>
        </w:r>
        <w:r>
          <w:rPr>
            <w:rStyle w:val="Hyperlink"/>
            <w:rFonts w:cs="David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hyperlink r:id="rId109">
        <w:r>
          <w:rPr>
            <w:rStyle w:val="Hyperlink"/>
            <w:rFonts w:cs="David"/>
          </w:rPr>
          <w:t>304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1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hyperlink r:id="rId111">
        <w:bookmarkStart w:id="100" w:name="Seif72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0"/>
        <w:r>
          <w:rPr>
            <w:rStyle w:val="Hyperlink"/>
            <w:rFonts w:cs="David"/>
          </w:rPr>
          <w:t>64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12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רשלנית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13">
        <w:bookmarkStart w:id="101" w:name="Seif73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1"/>
        <w:r>
          <w:rPr>
            <w:rStyle w:val="Hyperlink"/>
            <w:rFonts w:cs="David"/>
          </w:rPr>
          <w:t>62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התעבורה</w:t>
      </w:r>
      <w:r>
        <w:rPr>
          <w:rFonts w:cs="David"/>
          <w:rtl w:val="true"/>
        </w:rPr>
        <w:t>).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יתכנו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הריגה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14">
        <w:bookmarkStart w:id="102" w:name="Seif74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2"/>
        <w:r>
          <w:rPr>
            <w:rStyle w:val="Hyperlink"/>
            <w:rFonts w:cs="David"/>
          </w:rPr>
          <w:t>298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1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>).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הקטגוריות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16">
        <w:bookmarkStart w:id="103" w:name="Seif75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3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17">
        <w:bookmarkStart w:id="104" w:name="Seif76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4"/>
        <w:r>
          <w:rPr>
            <w:rStyle w:val="Hyperlink"/>
            <w:rFonts w:cs="David"/>
          </w:rPr>
          <w:t>64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ברשלנות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רשלנית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bookmarkStart w:id="105" w:name="Seif85"/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bookmarkEnd w:id="105"/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hyperlink r:id="rId11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585/10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11.8.2010</w:t>
      </w:r>
      <w:r>
        <w:rPr>
          <w:rFonts w:cs="David"/>
          <w:rtl w:val="true"/>
        </w:rPr>
        <w:t xml:space="preserve">)).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19">
        <w:bookmarkStart w:id="106" w:name="Seif77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6"/>
        <w:r>
          <w:rPr>
            <w:rStyle w:val="Hyperlink"/>
            <w:rFonts w:cs="David"/>
          </w:rPr>
          <w:t>40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20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Fonts w:cs="David"/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הקטגוריות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שצוינו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ולגבי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אורך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תקופ</w:t>
      </w:r>
      <w:r>
        <w:rPr>
          <w:rFonts w:cs="David"/>
          <w:b/>
          <w:b/>
          <w:bCs/>
          <w:rtl w:val="true"/>
        </w:rPr>
        <w:t>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פסילת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הרישיון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ההפקרה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2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8494/10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ברמן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25.11.10</w:t>
      </w:r>
      <w:r>
        <w:rPr>
          <w:rFonts w:cs="David"/>
          <w:rtl w:val="true"/>
        </w:rPr>
        <w:t xml:space="preserve">); </w:t>
      </w:r>
      <w:hyperlink r:id="rId12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5670/11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פלוני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14.9.11</w:t>
      </w:r>
      <w:r>
        <w:rPr>
          <w:rFonts w:cs="David"/>
          <w:rtl w:val="true"/>
        </w:rPr>
        <w:t xml:space="preserve">); </w:t>
      </w:r>
      <w:hyperlink r:id="rId12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6741/09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שטרית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3.6.10</w:t>
      </w:r>
      <w:r>
        <w:rPr>
          <w:rFonts w:cs="David"/>
          <w:rtl w:val="true"/>
        </w:rPr>
        <w:t xml:space="preserve">); </w:t>
      </w:r>
      <w:hyperlink r:id="rId12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1229/10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מג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/>
          <w:bCs/>
          <w:rtl w:val="true"/>
        </w:rPr>
        <w:t>דוב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5.8.10</w:t>
      </w:r>
      <w:r>
        <w:rPr>
          <w:rFonts w:cs="David"/>
          <w:rtl w:val="true"/>
        </w:rPr>
        <w:t xml:space="preserve">); </w:t>
      </w:r>
      <w:hyperlink r:id="rId125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656/10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אלטללקה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23.3.10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ופסילת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12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7878/12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ארגוב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21.5.13</w:t>
      </w:r>
      <w:r>
        <w:rPr>
          <w:rFonts w:cs="David"/>
          <w:rtl w:val="true"/>
        </w:rPr>
        <w:t>)).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/>
          <w:bCs/>
          <w:rtl w:val="true"/>
        </w:rPr>
        <w:t>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ההפקרה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2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6988/12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ראובן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27.9.12</w:t>
      </w:r>
      <w:r>
        <w:rPr>
          <w:rFonts w:cs="David"/>
          <w:rtl w:val="true"/>
        </w:rPr>
        <w:t xml:space="preserve">); </w:t>
      </w:r>
      <w:hyperlink r:id="rId12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5858/10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11.8.10</w:t>
      </w:r>
      <w:r>
        <w:rPr>
          <w:rFonts w:cs="David"/>
          <w:rtl w:val="true"/>
        </w:rPr>
        <w:t xml:space="preserve">); </w:t>
      </w:r>
      <w:hyperlink r:id="rId12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5000/08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סומך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22.3.09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הנהג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התאונה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נמצא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ופסילת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30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5554/12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רבינוביץ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4.2.13</w:t>
      </w:r>
      <w:r>
        <w:rPr>
          <w:rFonts w:cs="David"/>
          <w:rtl w:val="true"/>
        </w:rPr>
        <w:t xml:space="preserve">)).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שאוזכרה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שאוזכרו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הקטגוריות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נסיבות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הקשורות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כוזבת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131">
        <w:bookmarkStart w:id="107" w:name="Seif78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7"/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ט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3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):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שקדם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למעשיו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חלקו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היחסי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ומידת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ההשפעה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כוזבת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הנזק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צפוי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הנזק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שנגרם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לשיבוש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הפוגע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הסיבות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שהביאו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לבצע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אגואיסטי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מהתאונה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סיכום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ביניים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עביר</w:t>
      </w:r>
      <w:r>
        <w:rPr>
          <w:rFonts w:cs="David"/>
          <w:rtl w:val="true"/>
        </w:rPr>
        <w:t>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133">
        <w:bookmarkStart w:id="108" w:name="Seif79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08"/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3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>):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28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לערך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bookmarkStart w:id="109" w:name="Seif93"/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bookmarkEnd w:id="109"/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כוזבת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חלוף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בסטאטוס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</w:rPr>
        <w:t>39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4"/>
        </w:numPr>
        <w:ind w:hanging="915" w:start="1635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63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4"/>
        </w:numPr>
        <w:ind w:hanging="915" w:start="1635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5">
        <w:bookmarkStart w:id="110" w:name="Seif80"/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bookmarkEnd w:id="110"/>
        <w:r>
          <w:rPr>
            <w:rStyle w:val="Hyperlink"/>
            <w:rFonts w:cs="David"/>
          </w:rPr>
          <w:t>243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hyperlink r:id="rId136">
        <w:r>
          <w:rPr>
            <w:rStyle w:val="Hyperlink"/>
            <w:rFonts w:cs="David"/>
          </w:rPr>
          <w:t>244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3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.</w:t>
      </w:r>
    </w:p>
    <w:p>
      <w:pPr>
        <w:pStyle w:val="BodyText"/>
        <w:ind w:start="163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4"/>
        </w:numPr>
        <w:ind w:hanging="915" w:start="1635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ממאסרו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63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4"/>
        </w:numPr>
        <w:ind w:hanging="915" w:start="1635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1.1.14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>.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Fonts w:cs="David"/>
          <w:rtl w:val="true"/>
        </w:rPr>
        <w:t xml:space="preserve">. </w:t>
      </w:r>
      <w:bookmarkStart w:id="111" w:name="_GoBack"/>
      <w:bookmarkEnd w:id="111"/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8"/>
      <w:footerReference w:type="default" r:id="rId1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11513-04-10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תאמר אבו מוסה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915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38.2" TargetMode="External"/><Relationship Id="rId4" Type="http://schemas.openxmlformats.org/officeDocument/2006/relationships/hyperlink" Target="http://www.nevo.co.il/law/5227/40" TargetMode="External"/><Relationship Id="rId5" Type="http://schemas.openxmlformats.org/officeDocument/2006/relationships/hyperlink" Target="http://www.nevo.co.il/law/5227/62" TargetMode="External"/><Relationship Id="rId6" Type="http://schemas.openxmlformats.org/officeDocument/2006/relationships/hyperlink" Target="http://www.nevo.co.il/law/5227/62.2" TargetMode="External"/><Relationship Id="rId7" Type="http://schemas.openxmlformats.org/officeDocument/2006/relationships/hyperlink" Target="http://www.nevo.co.il/law/5227/64" TargetMode="External"/><Relationship Id="rId8" Type="http://schemas.openxmlformats.org/officeDocument/2006/relationships/hyperlink" Target="http://www.nevo.co.il/law/5227/64a" TargetMode="External"/><Relationship Id="rId9" Type="http://schemas.openxmlformats.org/officeDocument/2006/relationships/hyperlink" Target="http://www.nevo.co.il/law/5227/64a.a" TargetMode="External"/><Relationship Id="rId10" Type="http://schemas.openxmlformats.org/officeDocument/2006/relationships/hyperlink" Target="http://www.nevo.co.il/law/5227/64a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" TargetMode="External"/><Relationship Id="rId13" Type="http://schemas.openxmlformats.org/officeDocument/2006/relationships/hyperlink" Target="http://www.nevo.co.il/law/70301/4" TargetMode="External"/><Relationship Id="rId14" Type="http://schemas.openxmlformats.org/officeDocument/2006/relationships/hyperlink" Target="http://www.nevo.co.il/law/70301/5" TargetMode="External"/><Relationship Id="rId15" Type="http://schemas.openxmlformats.org/officeDocument/2006/relationships/hyperlink" Target="http://www.nevo.co.il/law/70301/5.a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/90b" TargetMode="External"/><Relationship Id="rId19" Type="http://schemas.openxmlformats.org/officeDocument/2006/relationships/hyperlink" Target="http://www.nevo.co.il/law/70301/243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298" TargetMode="External"/><Relationship Id="rId22" Type="http://schemas.openxmlformats.org/officeDocument/2006/relationships/hyperlink" Target="http://www.nevo.co.il/law/70301/304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law/72263" TargetMode="External"/><Relationship Id="rId26" Type="http://schemas.openxmlformats.org/officeDocument/2006/relationships/hyperlink" Target="http://www.nevo.co.il/law/5227/62.2" TargetMode="External"/><Relationship Id="rId27" Type="http://schemas.openxmlformats.org/officeDocument/2006/relationships/hyperlink" Target="http://www.nevo.co.il/law/5227/38.2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5227/64a.a" TargetMode="External"/><Relationship Id="rId30" Type="http://schemas.openxmlformats.org/officeDocument/2006/relationships/hyperlink" Target="http://www.nevo.co.il/law/70301/24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44" TargetMode="External"/><Relationship Id="rId33" Type="http://schemas.openxmlformats.org/officeDocument/2006/relationships/hyperlink" Target="http://www.nevo.co.il/law/5227/62.2" TargetMode="External"/><Relationship Id="rId34" Type="http://schemas.openxmlformats.org/officeDocument/2006/relationships/hyperlink" Target="http://www.nevo.co.il/law/5227/38.2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5227/64a.a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law/70301/243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5227/64a.a" TargetMode="External"/><Relationship Id="rId42" Type="http://schemas.openxmlformats.org/officeDocument/2006/relationships/hyperlink" Target="http://www.nevo.co.il/law/5227" TargetMode="External"/><Relationship Id="rId43" Type="http://schemas.openxmlformats.org/officeDocument/2006/relationships/hyperlink" Target="http://www.nevo.co.il/law/5227/64a.a" TargetMode="External"/><Relationship Id="rId44" Type="http://schemas.openxmlformats.org/officeDocument/2006/relationships/hyperlink" Target="http://www.nevo.co.il/law/5227" TargetMode="External"/><Relationship Id="rId45" Type="http://schemas.openxmlformats.org/officeDocument/2006/relationships/hyperlink" Target="http://www.nevo.co.il/law/5227/64a" TargetMode="External"/><Relationship Id="rId46" Type="http://schemas.openxmlformats.org/officeDocument/2006/relationships/hyperlink" Target="http://www.nevo.co.il/law/5227/64a" TargetMode="External"/><Relationship Id="rId47" Type="http://schemas.openxmlformats.org/officeDocument/2006/relationships/hyperlink" Target="http://www.nevo.co.il/law/5227/64a" TargetMode="External"/><Relationship Id="rId48" Type="http://schemas.openxmlformats.org/officeDocument/2006/relationships/hyperlink" Target="http://www.nevo.co.il/law/5227" TargetMode="External"/><Relationship Id="rId49" Type="http://schemas.openxmlformats.org/officeDocument/2006/relationships/hyperlink" Target="http://www.nevo.co.il/law/5227/64a.a" TargetMode="External"/><Relationship Id="rId50" Type="http://schemas.openxmlformats.org/officeDocument/2006/relationships/hyperlink" Target="http://www.nevo.co.il/law/5227/64a.a" TargetMode="External"/><Relationship Id="rId51" Type="http://schemas.openxmlformats.org/officeDocument/2006/relationships/hyperlink" Target="http://www.nevo.co.il/law/5227/64a.a" TargetMode="External"/><Relationship Id="rId52" Type="http://schemas.openxmlformats.org/officeDocument/2006/relationships/hyperlink" Target="http://www.nevo.co.il/law/5227" TargetMode="External"/><Relationship Id="rId53" Type="http://schemas.openxmlformats.org/officeDocument/2006/relationships/hyperlink" Target="http://www.nevo.co.il/law/5227/64a.a" TargetMode="External"/><Relationship Id="rId54" Type="http://schemas.openxmlformats.org/officeDocument/2006/relationships/hyperlink" Target="http://www.nevo.co.il/law/5227" TargetMode="External"/><Relationship Id="rId55" Type="http://schemas.openxmlformats.org/officeDocument/2006/relationships/hyperlink" Target="http://www.nevo.co.il/law/70301/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" TargetMode="External"/><Relationship Id="rId58" Type="http://schemas.openxmlformats.org/officeDocument/2006/relationships/hyperlink" Target="http://www.nevo.co.il/law/70301/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5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6114657" TargetMode="External"/><Relationship Id="rId63" Type="http://schemas.openxmlformats.org/officeDocument/2006/relationships/hyperlink" Target="http://www.nevo.co.il/law/5227/64a.a" TargetMode="External"/><Relationship Id="rId64" Type="http://schemas.openxmlformats.org/officeDocument/2006/relationships/hyperlink" Target="http://www.nevo.co.il/law/5227" TargetMode="External"/><Relationship Id="rId65" Type="http://schemas.openxmlformats.org/officeDocument/2006/relationships/hyperlink" Target="http://www.nevo.co.il/law/70301/5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5227/64a.a" TargetMode="External"/><Relationship Id="rId68" Type="http://schemas.openxmlformats.org/officeDocument/2006/relationships/hyperlink" Target="http://www.nevo.co.il/law/5227/64a" TargetMode="External"/><Relationship Id="rId69" Type="http://schemas.openxmlformats.org/officeDocument/2006/relationships/hyperlink" Target="http://www.nevo.co.il/law/5227/64a" TargetMode="External"/><Relationship Id="rId70" Type="http://schemas.openxmlformats.org/officeDocument/2006/relationships/hyperlink" Target="http://www.nevo.co.il/law/5227/64a.b" TargetMode="External"/><Relationship Id="rId71" Type="http://schemas.openxmlformats.org/officeDocument/2006/relationships/hyperlink" Target="http://www.nevo.co.il/law/5227/64a.a" TargetMode="External"/><Relationship Id="rId72" Type="http://schemas.openxmlformats.org/officeDocument/2006/relationships/hyperlink" Target="http://www.nevo.co.il/law/5227/64a.a" TargetMode="External"/><Relationship Id="rId73" Type="http://schemas.openxmlformats.org/officeDocument/2006/relationships/hyperlink" Target="http://www.nevo.co.il/law/5227/64a.a" TargetMode="External"/><Relationship Id="rId74" Type="http://schemas.openxmlformats.org/officeDocument/2006/relationships/hyperlink" Target="http://www.nevo.co.il/law/5227/64a.b" TargetMode="External"/><Relationship Id="rId75" Type="http://schemas.openxmlformats.org/officeDocument/2006/relationships/hyperlink" Target="http://www.nevo.co.il/law/5227" TargetMode="External"/><Relationship Id="rId76" Type="http://schemas.openxmlformats.org/officeDocument/2006/relationships/hyperlink" Target="http://www.nevo.co.il/law/72263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5227/64a.a" TargetMode="External"/><Relationship Id="rId79" Type="http://schemas.openxmlformats.org/officeDocument/2006/relationships/hyperlink" Target="http://www.nevo.co.il/law/5227/64a.b" TargetMode="External"/><Relationship Id="rId80" Type="http://schemas.openxmlformats.org/officeDocument/2006/relationships/hyperlink" Target="http://www.nevo.co.il/law/5227" TargetMode="External"/><Relationship Id="rId81" Type="http://schemas.openxmlformats.org/officeDocument/2006/relationships/hyperlink" Target="http://www.nevo.co.il/law/70301/5.a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5227/64a.a" TargetMode="External"/><Relationship Id="rId84" Type="http://schemas.openxmlformats.org/officeDocument/2006/relationships/hyperlink" Target="http://www.nevo.co.il/law/5227" TargetMode="External"/><Relationship Id="rId85" Type="http://schemas.openxmlformats.org/officeDocument/2006/relationships/hyperlink" Target="http://www.nevo.co.il/law/5227/64a" TargetMode="External"/><Relationship Id="rId86" Type="http://schemas.openxmlformats.org/officeDocument/2006/relationships/hyperlink" Target="http://www.nevo.co.il/law/5227/64a.a" TargetMode="External"/><Relationship Id="rId87" Type="http://schemas.openxmlformats.org/officeDocument/2006/relationships/hyperlink" Target="http://www.nevo.co.il/law/5227/64a.a" TargetMode="External"/><Relationship Id="rId88" Type="http://schemas.openxmlformats.org/officeDocument/2006/relationships/hyperlink" Target="http://www.nevo.co.il/law/5227/64a.b" TargetMode="External"/><Relationship Id="rId89" Type="http://schemas.openxmlformats.org/officeDocument/2006/relationships/hyperlink" Target="http://www.nevo.co.il/law/70301/5.a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5227/64a" TargetMode="External"/><Relationship Id="rId92" Type="http://schemas.openxmlformats.org/officeDocument/2006/relationships/hyperlink" Target="http://www.nevo.co.il/law/5227/64a.a" TargetMode="External"/><Relationship Id="rId93" Type="http://schemas.openxmlformats.org/officeDocument/2006/relationships/hyperlink" Target="http://www.nevo.co.il/law/5227/64a.b" TargetMode="External"/><Relationship Id="rId94" Type="http://schemas.openxmlformats.org/officeDocument/2006/relationships/hyperlink" Target="http://www.nevo.co.il/law/70301/5.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5227/64a.a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6950458" TargetMode="External"/><Relationship Id="rId99" Type="http://schemas.openxmlformats.org/officeDocument/2006/relationships/hyperlink" Target="http://www.nevo.co.il/case/6824952" TargetMode="External"/><Relationship Id="rId100" Type="http://schemas.openxmlformats.org/officeDocument/2006/relationships/hyperlink" Target="http://www.nevo.co.il/case/6473037" TargetMode="External"/><Relationship Id="rId101" Type="http://schemas.openxmlformats.org/officeDocument/2006/relationships/hyperlink" Target="http://www.nevo.co.il/case/5573417" TargetMode="External"/><Relationship Id="rId102" Type="http://schemas.openxmlformats.org/officeDocument/2006/relationships/hyperlink" Target="http://www.nevo.co.il/law/70301/40jc.a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40c.a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5573417" TargetMode="External"/><Relationship Id="rId107" Type="http://schemas.openxmlformats.org/officeDocument/2006/relationships/hyperlink" Target="http://www.nevo.co.il/case/6156903" TargetMode="External"/><Relationship Id="rId108" Type="http://schemas.openxmlformats.org/officeDocument/2006/relationships/hyperlink" Target="http://www.nevo.co.il/law/70301/90b" TargetMode="External"/><Relationship Id="rId109" Type="http://schemas.openxmlformats.org/officeDocument/2006/relationships/hyperlink" Target="http://www.nevo.co.il/law/70301/304" TargetMode="External"/><Relationship Id="rId110" Type="http://schemas.openxmlformats.org/officeDocument/2006/relationships/hyperlink" Target="http://www.nevo.co.il/law/70301" TargetMode="External"/><Relationship Id="rId111" Type="http://schemas.openxmlformats.org/officeDocument/2006/relationships/hyperlink" Target="http://www.nevo.co.il/law/5227/64" TargetMode="External"/><Relationship Id="rId112" Type="http://schemas.openxmlformats.org/officeDocument/2006/relationships/hyperlink" Target="http://www.nevo.co.il/law/5227" TargetMode="External"/><Relationship Id="rId113" Type="http://schemas.openxmlformats.org/officeDocument/2006/relationships/hyperlink" Target="http://www.nevo.co.il/law/5227/62" TargetMode="External"/><Relationship Id="rId114" Type="http://schemas.openxmlformats.org/officeDocument/2006/relationships/hyperlink" Target="http://www.nevo.co.il/law/70301/298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5227/64a.a" TargetMode="External"/><Relationship Id="rId117" Type="http://schemas.openxmlformats.org/officeDocument/2006/relationships/hyperlink" Target="http://www.nevo.co.il/law/5227/64a.b" TargetMode="External"/><Relationship Id="rId118" Type="http://schemas.openxmlformats.org/officeDocument/2006/relationships/hyperlink" Target="http://www.nevo.co.il/case/6246647" TargetMode="External"/><Relationship Id="rId119" Type="http://schemas.openxmlformats.org/officeDocument/2006/relationships/hyperlink" Target="http://www.nevo.co.il/law/5227/40" TargetMode="External"/><Relationship Id="rId120" Type="http://schemas.openxmlformats.org/officeDocument/2006/relationships/hyperlink" Target="http://www.nevo.co.il/law/5227" TargetMode="External"/><Relationship Id="rId121" Type="http://schemas.openxmlformats.org/officeDocument/2006/relationships/hyperlink" Target="http://www.nevo.co.il/case/6130846" TargetMode="External"/><Relationship Id="rId122" Type="http://schemas.openxmlformats.org/officeDocument/2006/relationships/hyperlink" Target="http://www.nevo.co.il/case/6246516" TargetMode="External"/><Relationship Id="rId123" Type="http://schemas.openxmlformats.org/officeDocument/2006/relationships/hyperlink" Target="http://www.nevo.co.il/case/6081088" TargetMode="External"/><Relationship Id="rId124" Type="http://schemas.openxmlformats.org/officeDocument/2006/relationships/hyperlink" Target="http://www.nevo.co.il/case/5755406" TargetMode="External"/><Relationship Id="rId125" Type="http://schemas.openxmlformats.org/officeDocument/2006/relationships/hyperlink" Target="http://www.nevo.co.il/case/5716829" TargetMode="External"/><Relationship Id="rId126" Type="http://schemas.openxmlformats.org/officeDocument/2006/relationships/hyperlink" Target="http://www.nevo.co.il/case/5603999" TargetMode="External"/><Relationship Id="rId127" Type="http://schemas.openxmlformats.org/officeDocument/2006/relationships/hyperlink" Target="http://www.nevo.co.il/case/5598553" TargetMode="External"/><Relationship Id="rId128" Type="http://schemas.openxmlformats.org/officeDocument/2006/relationships/hyperlink" Target="http://www.nevo.co.il/case/6036707" TargetMode="External"/><Relationship Id="rId129" Type="http://schemas.openxmlformats.org/officeDocument/2006/relationships/hyperlink" Target="http://www.nevo.co.il/case/5988393" TargetMode="External"/><Relationship Id="rId130" Type="http://schemas.openxmlformats.org/officeDocument/2006/relationships/hyperlink" Target="http://www.nevo.co.il/case/5590366" TargetMode="External"/><Relationship Id="rId131" Type="http://schemas.openxmlformats.org/officeDocument/2006/relationships/hyperlink" Target="http://www.nevo.co.il/law/70301/40i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40ja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/243" TargetMode="External"/><Relationship Id="rId136" Type="http://schemas.openxmlformats.org/officeDocument/2006/relationships/hyperlink" Target="http://www.nevo.co.il/law/70301/244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eader" Target="header1.xml"/><Relationship Id="rId139" Type="http://schemas.openxmlformats.org/officeDocument/2006/relationships/footer" Target="footer1.xml"/><Relationship Id="rId140" Type="http://schemas.openxmlformats.org/officeDocument/2006/relationships/numbering" Target="numbering.xml"/><Relationship Id="rId141" Type="http://schemas.openxmlformats.org/officeDocument/2006/relationships/fontTable" Target="fontTable.xml"/><Relationship Id="rId142" Type="http://schemas.openxmlformats.org/officeDocument/2006/relationships/settings" Target="settings.xml"/><Relationship Id="rId1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2020-10-18T12:04:00Z</dcterms:created>
  <dc:creator> </dc:creator>
  <dc:description/>
  <cp:keywords/>
  <dc:language>en-IL</dc:language>
  <cp:lastModifiedBy>hofit</cp:lastModifiedBy>
  <dcterms:modified xsi:type="dcterms:W3CDTF">2020-10-18T12:04:00Z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תאמר אבו מוסה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6114657;6950458;6824952;6473037;5573417:2;6156903;6246647;6130846;6246516;6081088;5755406;5716829;5603999;5598553;6036707;5988393;5590366</vt:lpwstr>
  </property>
  <property fmtid="{D5CDD505-2E9C-101B-9397-08002B2CF9AE}" pid="9" name="CITY">
    <vt:lpwstr>רמ'</vt:lpwstr>
  </property>
  <property fmtid="{D5CDD505-2E9C-101B-9397-08002B2CF9AE}" pid="10" name="DATE">
    <vt:lpwstr>20131020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5227/062.2;038.2;064a.a:16;064a:7;064a.b:6;064;062;040</vt:lpwstr>
  </property>
  <property fmtid="{D5CDD505-2E9C-101B-9397-08002B2CF9AE}" pid="15" name="LAWLISTTMP2">
    <vt:lpwstr>70301/243;244;003;004;005;005.a:5;40jc.a;040c.a;090b;304;298;040i;40ja</vt:lpwstr>
  </property>
  <property fmtid="{D5CDD505-2E9C-101B-9397-08002B2CF9AE}" pid="16" name="LAWLISTTMP3">
    <vt:lpwstr>72263</vt:lpwstr>
  </property>
  <property fmtid="{D5CDD505-2E9C-101B-9397-08002B2CF9AE}" pid="17" name="LAWYER">
    <vt:lpwstr>רועי לוס;דורון לוי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11513</vt:lpwstr>
  </property>
  <property fmtid="{D5CDD505-2E9C-101B-9397-08002B2CF9AE}" pid="24" name="NEWPARTB">
    <vt:lpwstr>04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380020131020</vt:lpwstr>
  </property>
  <property fmtid="{D5CDD505-2E9C-101B-9397-08002B2CF9AE}" pid="36" name="TYPE_N_DATE">
    <vt:lpwstr>38020131020</vt:lpwstr>
  </property>
  <property fmtid="{D5CDD505-2E9C-101B-9397-08002B2CF9AE}" pid="37" name="VOLUME">
    <vt:lpwstr/>
  </property>
  <property fmtid="{D5CDD505-2E9C-101B-9397-08002B2CF9AE}" pid="38" name="WORDNUMPAGES">
    <vt:lpwstr>16</vt:lpwstr>
  </property>
</Properties>
</file>