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11520-12-12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אבידו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טריגר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אבידו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FrankRuehl" w:cs="FrankRuehl" w:ascii="FrankRuehl" w:hAnsi="FrankRuehl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באומן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לשפה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הטיגרית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אנברם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bookmarkStart w:id="4" w:name="PsakDin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ן</w:t>
            </w:r>
            <w:bookmarkEnd w:id="4"/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"/>
      <w:bookmarkStart w:id="7" w:name="LawTable_End"/>
      <w:bookmarkStart w:id="8" w:name="LawTable"/>
      <w:bookmarkEnd w:id="7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10" w:name="ABSTRACT_END"/>
      <w:bookmarkEnd w:id="10"/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6.6.2011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24:30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ממונית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3.9.2010</w:t>
      </w:r>
      <w:r>
        <w:rPr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החלטת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למשמורת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מסתננים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4.11.2012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3.9.10</w:t>
      </w:r>
      <w:r>
        <w:rPr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24.5.12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אריתראה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22.10.12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31.10.11</w:t>
      </w:r>
      <w:r>
        <w:rPr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צריך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להיות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"</w:t>
      </w:r>
      <w:r>
        <w:rPr>
          <w:i/>
          <w:iCs/>
        </w:rPr>
        <w:t>31.10.12</w:t>
      </w:r>
      <w:r>
        <w:rPr>
          <w:i/>
          <w:iCs/>
          <w:rtl w:val="true"/>
        </w:rPr>
        <w:t xml:space="preserve">" – </w:t>
      </w:r>
      <w:r>
        <w:rPr>
          <w:i/>
          <w:i/>
          <w:iCs/>
          <w:rtl w:val="true"/>
        </w:rPr>
        <w:t>ה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ש</w:t>
      </w:r>
      <w:r>
        <w:rPr>
          <w:i/>
          <w:iCs/>
          <w:rtl w:val="true"/>
        </w:rPr>
        <w:t>')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1.1.12</w:t>
      </w:r>
      <w:r>
        <w:rPr>
          <w:rtl w:val="true"/>
        </w:rPr>
        <w:t xml:space="preserve"> (</w:t>
      </w:r>
      <w:r>
        <w:rPr>
          <w:i/>
          <w:i/>
          <w:iCs/>
          <w:rtl w:val="true"/>
        </w:rPr>
        <w:t>ייתכן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והכוונה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</w:t>
      </w:r>
      <w:r>
        <w:rPr>
          <w:i/>
          <w:iCs/>
          <w:rtl w:val="true"/>
        </w:rPr>
        <w:t>-</w:t>
      </w:r>
      <w:r>
        <w:rPr>
          <w:i/>
          <w:iCs/>
          <w:rtl w:val="true"/>
        </w:rPr>
        <w:t xml:space="preserve"> "</w:t>
      </w:r>
      <w:r>
        <w:rPr>
          <w:i/>
          <w:iCs/>
        </w:rPr>
        <w:t>1.11.12</w:t>
      </w:r>
      <w:r>
        <w:rPr>
          <w:i/>
          <w:iCs/>
          <w:rtl w:val="true"/>
        </w:rPr>
        <w:t xml:space="preserve">" – </w:t>
      </w:r>
      <w:r>
        <w:rPr>
          <w:i/>
          <w:i/>
          <w:iCs/>
          <w:rtl w:val="true"/>
        </w:rPr>
        <w:t>ה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ש</w:t>
      </w:r>
      <w:r>
        <w:rPr>
          <w:i/>
          <w:iCs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37446-10-12</w:t>
        </w:r>
      </w:hyperlink>
      <w:r>
        <w:rPr>
          <w:rtl w:val="true"/>
        </w:rPr>
        <w:t xml:space="preserve">)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לאריתראה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באומן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לאריתראה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</w:t>
      </w:r>
      <w:r>
        <w:rPr>
          <w:rtl w:val="true"/>
        </w:rPr>
        <w:t>כ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לאריתראה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ניסיון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שוד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מחמירות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שוד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השוד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 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"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 xml:space="preserve">" </w:t>
      </w:r>
      <w:r>
        <w:rPr>
          <w:u w:val="single"/>
          <w:rtl w:val="true"/>
        </w:rPr>
        <w:t>שוד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5" w:start="2835" w:end="0"/>
        <w:jc w:val="both"/>
        <w:rPr/>
      </w:pPr>
      <w:r>
        <w:rPr/>
        <w:t>402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tl w:val="true"/>
        </w:rPr>
        <w:t>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הכהו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ab/>
        <w:tab/>
        <w:tab/>
        <w:tab/>
      </w:r>
      <w:r>
        <w:rPr>
          <w:u w:val="single"/>
          <w:rtl w:val="true"/>
        </w:rPr>
        <w:t>ניסיון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שוד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403</w:t>
      </w:r>
      <w:r>
        <w:rPr>
          <w:rtl w:val="true"/>
        </w:rPr>
        <w:t>.</w:t>
        <w:tab/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1"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>":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7655/12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פייסל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4.4.13</w:t>
      </w:r>
      <w:r>
        <w:rPr>
          <w:rtl w:val="true"/>
        </w:rPr>
        <w:t xml:space="preserve">)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קטגוריית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והנדל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720" w:start="3600"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cs="Arial TUR;Arial" w:ascii="Arial TUR;Arial" w:hAnsi="Arial TUR;Arial"/>
          <w:spacing w:val="10"/>
        </w:rPr>
        <w:t>7</w:t>
      </w:r>
      <w:r>
        <w:rPr>
          <w:rFonts w:cs="Arial TUR;Arial" w:ascii="Arial TUR;Arial" w:hAnsi="Arial TUR;Arial"/>
          <w:spacing w:val="10"/>
          <w:rtl w:val="true"/>
        </w:rPr>
        <w:t>.</w:t>
        <w:tab/>
      </w:r>
      <w:r>
        <w:rPr>
          <w:rFonts w:ascii="Arial TUR;Arial" w:hAnsi="Arial TUR;Arial" w:cs="Arial TUR;Arial"/>
          <w:spacing w:val="10"/>
          <w:rtl w:val="true"/>
        </w:rPr>
        <w:t>כמוסכם על הכל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נקודת המוצא לבחינת העונש ההולם דבר עבירה הוא בקביעת מתחם הענישה הראוי לעבירה בנסיבותיה 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ascii="Arial TUR;Arial" w:hAnsi="Arial TUR;Arial" w:cs="Arial TUR;Arial"/>
          <w:spacing w:val="10"/>
          <w:rtl w:val="true"/>
        </w:rPr>
        <w:t>ובכללן מידת האשם של מבצע העבירה</w:t>
      </w:r>
      <w:r>
        <w:rPr>
          <w:rFonts w:cs="Arial TUR;Arial" w:ascii="Arial TUR;Arial" w:hAnsi="Arial TUR;Arial"/>
          <w:spacing w:val="10"/>
          <w:rtl w:val="true"/>
        </w:rPr>
        <w:t xml:space="preserve">). </w:t>
      </w:r>
      <w:r>
        <w:rPr>
          <w:rFonts w:ascii="Arial TUR;Arial" w:hAnsi="Arial TUR;Arial" w:cs="Arial TUR;Arial"/>
          <w:spacing w:val="10"/>
          <w:rtl w:val="true"/>
        </w:rPr>
        <w:t>ברי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כי אין משמעות הדבר שבכל מקרה ומקרה </w:t>
      </w: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spacing w:val="10"/>
          <w:rtl w:val="true"/>
        </w:rPr>
        <w:t>יומצא הגלגל מחדש</w:t>
      </w:r>
      <w:r>
        <w:rPr>
          <w:rFonts w:cs="Arial TUR;Arial" w:ascii="Arial TUR;Arial" w:hAnsi="Arial TUR;Arial"/>
          <w:spacing w:val="10"/>
          <w:rtl w:val="true"/>
        </w:rPr>
        <w:t xml:space="preserve">", </w:t>
      </w:r>
      <w:r>
        <w:rPr>
          <w:rFonts w:ascii="Arial TUR;Arial" w:hAnsi="Arial TUR;Arial" w:cs="Arial TUR;Arial"/>
          <w:spacing w:val="10"/>
          <w:rtl w:val="true"/>
        </w:rPr>
        <w:t>ויקבע מתחם ענישה המותאם לנסיבות הספציפיות של ההליך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קביעה שכזאת הייתה מרוקנת מתוכן את סעיף החוק והיא נוגדת את תכליתו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מאידך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אין לקבוע מתחם ענישה כללי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הכולל קשת רחבה מאוד של מעשים אפשריים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ככל שעסקינן בעבירות דוגמת עבירת השוד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בה ניתן להצביע על מדרג של חומרה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עלינו לזהות את מתחם הענישה הראוי לקבוצות מעשים הדומים בנסיבותיהם 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ascii="Arial TUR;Arial" w:hAnsi="Arial TUR;Arial" w:cs="Arial TUR;Arial"/>
          <w:spacing w:val="10"/>
          <w:rtl w:val="true"/>
        </w:rPr>
        <w:t xml:space="preserve">וראו לדוגמא </w:t>
      </w:r>
      <w:hyperlink r:id="rId18">
        <w:r>
          <w:rPr>
            <w:rStyle w:val="Hyperlink"/>
            <w:rFonts w:ascii="Arial TUR;Arial" w:hAnsi="Arial TUR;Arial" w:cs="Arial TUR;Arial"/>
            <w:spacing w:val="10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spacing w:val="10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spacing w:val="10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spacing w:val="10"/>
          </w:rPr>
          <w:t>6438/12</w:t>
        </w:r>
      </w:hyperlink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cs="Arial TUR;Arial" w:ascii="Arial TUR;Arial" w:hAnsi="Arial TUR;Arial"/>
          <w:spacing w:val="10"/>
        </w:rPr>
        <w:t>20.3.2013</w:t>
      </w:r>
      <w:r>
        <w:rPr>
          <w:rFonts w:cs="Arial TUR;Arial" w:ascii="Arial TUR;Arial" w:hAnsi="Arial TUR;Arial"/>
          <w:spacing w:val="10"/>
          <w:rtl w:val="true"/>
        </w:rPr>
        <w:t xml:space="preserve">), </w:t>
      </w:r>
      <w:r>
        <w:rPr>
          <w:rFonts w:ascii="Arial TUR;Arial" w:hAnsi="Arial TUR;Arial" w:cs="Arial TUR;Arial"/>
          <w:spacing w:val="10"/>
          <w:rtl w:val="true"/>
        </w:rPr>
        <w:t xml:space="preserve">פסקה </w:t>
      </w:r>
      <w:r>
        <w:rPr>
          <w:rFonts w:cs="Arial TUR;Arial" w:ascii="Arial TUR;Arial" w:hAnsi="Arial TUR;Arial"/>
          <w:spacing w:val="10"/>
        </w:rPr>
        <w:t>8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לפסק דיני</w:t>
      </w:r>
      <w:r>
        <w:rPr>
          <w:rFonts w:cs="Arial TUR;Arial" w:ascii="Arial TUR;Arial" w:hAnsi="Arial TUR;Arial"/>
          <w:spacing w:val="10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  <w:tab/>
        <w:tab/>
        <w:tab/>
        <w:tab/>
      </w:r>
      <w:r>
        <w:rPr>
          <w:rFonts w:cs="Arial TUR;Arial" w:ascii="Arial TUR;Arial" w:hAnsi="Arial TUR;Arial"/>
          <w:spacing w:val="10"/>
        </w:rPr>
        <w:t>8</w:t>
      </w:r>
      <w:r>
        <w:rPr>
          <w:rFonts w:cs="Arial TUR;Arial" w:ascii="Arial TUR;Arial" w:hAnsi="Arial TUR;Arial"/>
          <w:spacing w:val="10"/>
          <w:rtl w:val="true"/>
        </w:rPr>
        <w:t>.</w:t>
        <w:tab/>
      </w:r>
      <w:r>
        <w:rPr>
          <w:rFonts w:ascii="Arial TUR;Arial" w:hAnsi="Arial TUR;Arial" w:cs="Arial TUR;Arial"/>
          <w:spacing w:val="10"/>
          <w:rtl w:val="true"/>
        </w:rPr>
        <w:t>במקרה הנוכחי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מדובר בעבירת שוד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שהיא עבירת </w:t>
      </w:r>
      <w:r>
        <w:rPr>
          <w:rFonts w:cs="Arial TUR;Arial" w:ascii="Arial TUR;Arial" w:hAnsi="Arial TUR;Arial"/>
          <w:spacing w:val="10"/>
          <w:rtl w:val="true"/>
        </w:rPr>
        <w:tab/>
        <w:tab/>
        <w:tab/>
        <w:tab/>
        <w:tab/>
      </w:r>
      <w:r>
        <w:rPr>
          <w:rFonts w:ascii="Arial TUR;Arial" w:hAnsi="Arial TUR;Arial" w:cs="Arial TUR;Arial"/>
          <w:spacing w:val="10"/>
          <w:rtl w:val="true"/>
        </w:rPr>
        <w:t>א</w:t>
      </w:r>
      <w:r>
        <w:rPr>
          <w:rFonts w:ascii="Arial TUR;Arial" w:hAnsi="Arial TUR;Arial" w:cs="Arial TUR;Arial"/>
          <w:spacing w:val="10"/>
          <w:rtl w:val="true"/>
        </w:rPr>
        <w:t>לימות קשה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יחד עם זאת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כפי שציין בית המשפט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3600" w:end="0"/>
        <w:jc w:val="both"/>
        <w:rPr>
          <w:rFonts w:ascii="Arial TUR;Arial" w:hAnsi="Arial TUR;Arial" w:cs="Arial TUR;Arial"/>
          <w:spacing w:val="10"/>
        </w:rPr>
      </w:pPr>
      <w:r>
        <w:rPr>
          <w:rFonts w:ascii="Arial TUR;Arial" w:hAnsi="Arial TUR;Arial" w:cs="Arial TUR;Arial"/>
          <w:spacing w:val="10"/>
          <w:rtl w:val="true"/>
        </w:rPr>
        <w:t>המחוזי בגזר דינו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עבירת השוד בוצעה שלא על בסיס תכנון מוקדם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spacing w:val="10"/>
          <w:rtl w:val="true"/>
        </w:rPr>
        <w:t>בהקשר זה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בית המשפט המחוזי התייחס לרכיב זה כחיצוני למתחם הענישה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בעוד שעליו היה להיות חלק אינטגראלי מאופן קביעת מתחם הענישה הראוי</w:t>
      </w:r>
      <w:r>
        <w:rPr>
          <w:rFonts w:cs="Arial TUR;Arial" w:ascii="Arial TUR;Arial" w:hAnsi="Arial TUR;Arial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העיון בפסיקה מעלה שמתחם הענישה הראוי לעבירות שוד שבוצעו בנסיבות דומות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קרי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בוצעו באופן 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ספונטאני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ללא תכנון מוקדם וללא שימוש בנשק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תוך שלנפגע העבירה נגרמו נזקים שאינם חמורים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עומד על תקופה של </w:t>
      </w:r>
      <w:r>
        <w:rPr>
          <w:rFonts w:ascii="Arial TUR;Arial" w:hAnsi="Arial TUR;Arial" w:cs="Arial TUR;Arial"/>
          <w:b/>
          <w:b/>
          <w:bCs/>
          <w:spacing w:val="10"/>
          <w:u w:val="single"/>
          <w:rtl w:val="true"/>
        </w:rPr>
        <w:t>שישה חודשי מאסר לבין שתי שנות מאסר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ascii="Arial TUR;Arial" w:hAnsi="Arial TUR;Arial" w:cs="Arial TUR;Arial"/>
          <w:spacing w:val="10"/>
          <w:rtl w:val="true"/>
        </w:rPr>
        <w:t xml:space="preserve">וראו לדוגמא </w:t>
      </w:r>
      <w:hyperlink r:id="rId19">
        <w:r>
          <w:rPr>
            <w:rStyle w:val="Hyperlink"/>
            <w:rFonts w:ascii="Arial TUR;Arial" w:hAnsi="Arial TUR;Arial" w:cs="Arial TUR;Arial"/>
            <w:spacing w:val="10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spacing w:val="10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spacing w:val="10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spacing w:val="10"/>
          </w:rPr>
          <w:t>3879/12</w:t>
        </w:r>
      </w:hyperlink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cs="Arial TUR;Arial" w:ascii="Arial TUR;Arial" w:hAnsi="Arial TUR;Arial"/>
          <w:spacing w:val="10"/>
        </w:rPr>
        <w:t>30.1.2013</w:t>
      </w:r>
      <w:r>
        <w:rPr>
          <w:rFonts w:cs="Arial TUR;Arial" w:ascii="Arial TUR;Arial" w:hAnsi="Arial TUR;Arial"/>
          <w:spacing w:val="10"/>
          <w:rtl w:val="true"/>
        </w:rPr>
        <w:t xml:space="preserve">) </w:t>
      </w:r>
      <w:r>
        <w:rPr>
          <w:rFonts w:ascii="Arial TUR;Arial" w:hAnsi="Arial TUR;Arial" w:cs="Arial TUR;Arial"/>
          <w:spacing w:val="10"/>
          <w:rtl w:val="true"/>
        </w:rPr>
        <w:t>וההפניות שם</w:t>
      </w:r>
      <w:r>
        <w:rPr>
          <w:rFonts w:cs="Arial TUR;Arial" w:ascii="Arial TUR;Arial" w:hAnsi="Arial TUR;Arial"/>
          <w:spacing w:val="10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  <w:tab/>
        <w:tab/>
        <w:tab/>
        <w:tab/>
        <w:tab/>
        <w:t>(</w:t>
      </w:r>
      <w:r>
        <w:rPr>
          <w:rFonts w:ascii="Arial TUR;Arial" w:hAnsi="Arial TUR;Arial" w:cs="Arial TUR;Arial"/>
          <w:spacing w:val="10"/>
          <w:rtl w:val="true"/>
        </w:rPr>
        <w:t xml:space="preserve">ההדגשה </w:t>
      </w:r>
      <w:r>
        <w:rPr>
          <w:rFonts w:ascii="Arial TUR;Arial" w:hAnsi="Arial TUR;Arial" w:cs="Arial TUR;Arial"/>
          <w:spacing w:val="10"/>
          <w:rtl w:val="true"/>
        </w:rPr>
        <w:t>לא</w:t>
      </w:r>
      <w:r>
        <w:rPr>
          <w:rFonts w:ascii="Arial TUR;Arial" w:hAnsi="Arial TUR;Arial" w:cs="Arial TUR;Arial"/>
          <w:spacing w:val="10"/>
          <w:rtl w:val="true"/>
        </w:rPr>
        <w:t xml:space="preserve"> במקור</w:t>
      </w:r>
      <w:r>
        <w:rPr>
          <w:rFonts w:cs="Arial TUR;Arial" w:ascii="Arial TUR;Arial" w:hAnsi="Arial TUR;Arial"/>
          <w:spacing w:val="10"/>
          <w:rtl w:val="true"/>
        </w:rPr>
        <w:t xml:space="preserve">)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ספונטאני</w:t>
      </w:r>
      <w:r>
        <w:rPr>
          <w:rtl w:val="true"/>
        </w:rPr>
        <w:t>",</w:t>
        <w:br/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9998/05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קולסנוב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10.8.2006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6449/99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7.2.2000</w:t>
      </w:r>
      <w:r>
        <w:rPr>
          <w:rtl w:val="true"/>
        </w:rPr>
        <w:t xml:space="preserve">) ; 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8117/06</w:t>
        </w:r>
      </w:hyperlink>
      <w:r>
        <w:rPr>
          <w:rtl w:val="true"/>
        </w:rPr>
        <w:t xml:space="preserve"> (</w:t>
      </w:r>
      <w:r>
        <w:rPr>
          <w:rtl w:val="true"/>
        </w:rPr>
        <w:t>מח</w:t>
      </w:r>
      <w:r>
        <w:rPr>
          <w:rtl w:val="true"/>
        </w:rPr>
        <w:t xml:space="preserve">'-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בוזגלו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3.7.2007</w:t>
      </w:r>
      <w:r>
        <w:rPr>
          <w:rtl w:val="true"/>
        </w:rPr>
        <w:t xml:space="preserve">) ; </w:t>
      </w:r>
      <w:hyperlink r:id="rId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–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40040/07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25.9.2007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5535/12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כאברי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1.5.2013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כאברי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סודן</w:t>
      </w:r>
      <w:r>
        <w:rPr>
          <w:rtl w:val="true"/>
        </w:rPr>
        <w:t xml:space="preserve">.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1"/>
        <w:ind w:start="288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שאף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רשאי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קביעת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רף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בהתגברות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מימדיה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תופעה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מתעוררת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השאלה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רשאי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קביעת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רף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בהשתייכותו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לקבוצה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באוכלוסיה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דהיינו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סטנדרט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ענישתי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שונה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ביחס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לשודדים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הנמנים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אוכלוסיית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מבקשי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המקלט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בישראל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להבדיל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מנאשמים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אזרחי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ישאל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המועמדים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לטעמי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התשובה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לשאלה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זו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חייבת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שלילית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השתייכותו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לקבוצה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מסוימת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באוכלוסייה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רלבנטית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כשלעצמה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קביעת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רף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צריך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להיקבע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לעקרונות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היסוד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תורת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עקרונות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למנות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המחייב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יחס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הגיוני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ומידתי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המושת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אחידות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ייגזר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ועקרון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האינדיבידואלית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שעניינו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לנסיבותיו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והפרטניות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כריסטיאן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Times New Roman" w:hAnsi="Times New Roman"/>
          <w:sz w:val="24"/>
          <w:szCs w:val="24"/>
          <w:rtl w:val="true"/>
        </w:rPr>
        <w:t>)."</w:t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  <w:tab/>
        <w:tab/>
        <w:tab/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ההדגשה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במקור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בפסקה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כאברי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נאמר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כדלקמן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נפשך</w:t>
      </w:r>
      <w:r>
        <w:rPr>
          <w:rtl w:val="true"/>
        </w:rPr>
        <w:t xml:space="preserve">?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קבוצתית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גרמסיון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23.6.2013</w:t>
      </w:r>
      <w:r>
        <w:rPr>
          <w:rtl w:val="true"/>
        </w:rPr>
        <w:t xml:space="preserve">)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5535/12</w:t>
        </w:r>
      </w:hyperlink>
      <w:r>
        <w:rPr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כאברי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1.5.2013</w:t>
      </w:r>
      <w:r>
        <w:rPr>
          <w:rtl w:val="true"/>
        </w:rPr>
        <w:t xml:space="preserve">), </w:t>
      </w:r>
      <w:r>
        <w:rPr>
          <w:rtl w:val="true"/>
        </w:rPr>
        <w:t>בפסקאו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17-16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דנציגר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אוטומאטי</w:t>
      </w:r>
      <w:r>
        <w:rPr>
          <w:rtl w:val="true"/>
        </w:rPr>
        <w:t xml:space="preserve">"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חסינות</w:t>
      </w:r>
      <w:r>
        <w:rPr>
          <w:rtl w:val="true"/>
        </w:rPr>
        <w:t xml:space="preserve">"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וידידים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;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22.10.12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1.11.2012</w:t>
      </w:r>
      <w:r>
        <w:rPr>
          <w:rtl w:val="true"/>
        </w:rPr>
        <w:t xml:space="preserve">,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6.12.2012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bookmarkStart w:id="11" w:name="_GoBack"/>
      <w:bookmarkEnd w:id="1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11520-12-12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אבידו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/40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90721/12.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case/3995586" TargetMode="External"/><Relationship Id="rId7" Type="http://schemas.openxmlformats.org/officeDocument/2006/relationships/hyperlink" Target="http://www.nevo.co.il/law/70301/402" TargetMode="External"/><Relationship Id="rId8" Type="http://schemas.openxmlformats.org/officeDocument/2006/relationships/hyperlink" Target="http://www.nevo.co.il/law/70301/40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2" TargetMode="External"/><Relationship Id="rId11" Type="http://schemas.openxmlformats.org/officeDocument/2006/relationships/hyperlink" Target="http://www.nevo.co.il/law/70301/40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603213" TargetMode="External"/><Relationship Id="rId16" Type="http://schemas.openxmlformats.org/officeDocument/2006/relationships/hyperlink" Target="http://www.nevo.co.il/law/70301/402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6247111" TargetMode="External"/><Relationship Id="rId19" Type="http://schemas.openxmlformats.org/officeDocument/2006/relationships/hyperlink" Target="http://www.nevo.co.il/case/6245272" TargetMode="External"/><Relationship Id="rId20" Type="http://schemas.openxmlformats.org/officeDocument/2006/relationships/hyperlink" Target="http://www.nevo.co.il/law/70301/40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163311" TargetMode="External"/><Relationship Id="rId25" Type="http://schemas.openxmlformats.org/officeDocument/2006/relationships/hyperlink" Target="http://www.nevo.co.il/case/6066334" TargetMode="External"/><Relationship Id="rId26" Type="http://schemas.openxmlformats.org/officeDocument/2006/relationships/hyperlink" Target="http://www.nevo.co.il/case/515140" TargetMode="External"/><Relationship Id="rId27" Type="http://schemas.openxmlformats.org/officeDocument/2006/relationships/hyperlink" Target="http://www.nevo.co.il/case/2246186" TargetMode="External"/><Relationship Id="rId28" Type="http://schemas.openxmlformats.org/officeDocument/2006/relationships/hyperlink" Target="http://www.nevo.co.il/case/5590454" TargetMode="External"/><Relationship Id="rId29" Type="http://schemas.openxmlformats.org/officeDocument/2006/relationships/hyperlink" Target="http://www.nevo.co.il/case/5573456" TargetMode="External"/><Relationship Id="rId30" Type="http://schemas.openxmlformats.org/officeDocument/2006/relationships/hyperlink" Target="http://www.nevo.co.il/case/5590454" TargetMode="External"/><Relationship Id="rId31" Type="http://schemas.openxmlformats.org/officeDocument/2006/relationships/hyperlink" Target="http://www.nevo.co.il/law/70301/413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90721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2016-02-23T09:29:00Z</dcterms:created>
  <dc:creator> </dc:creator>
  <dc:description/>
  <cp:keywords/>
  <dc:language>en-IL</dc:language>
  <cp:lastModifiedBy>hofit</cp:lastModifiedBy>
  <dcterms:modified xsi:type="dcterms:W3CDTF">2016-02-23T09:29:00Z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אבידו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3995586;5603213;6247111;6245272;6163311;6066334;515140;2246186;5590454:2;5573456</vt:lpwstr>
  </property>
  <property fmtid="{D5CDD505-2E9C-101B-9397-08002B2CF9AE}" pid="9" name="CITY">
    <vt:lpwstr>רמ'</vt:lpwstr>
  </property>
  <property fmtid="{D5CDD505-2E9C-101B-9397-08002B2CF9AE}" pid="10" name="DATE">
    <vt:lpwstr>20130721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70301/403:6;402:2;402.a;413</vt:lpwstr>
  </property>
  <property fmtid="{D5CDD505-2E9C-101B-9397-08002B2CF9AE}" pid="15" name="LAWLISTTMP2">
    <vt:lpwstr>90721/012.1</vt:lpwstr>
  </property>
  <property fmtid="{D5CDD505-2E9C-101B-9397-08002B2CF9AE}" pid="16" name="LAWYER">
    <vt:lpwstr>מאיה טריגר;דן באומן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11520</vt:lpwstr>
  </property>
  <property fmtid="{D5CDD505-2E9C-101B-9397-08002B2CF9AE}" pid="23" name="NEWPARTB">
    <vt:lpwstr>12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380020130721</vt:lpwstr>
  </property>
  <property fmtid="{D5CDD505-2E9C-101B-9397-08002B2CF9AE}" pid="35" name="TYPE_N_DATE">
    <vt:lpwstr>38020130721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