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1154-09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מסארוה בן ריאד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שופטת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יניאנו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פיקר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סיף מסארוה בן ריאד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הובא 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שב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נאשף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bookmarkStart w:id="3" w:name="PsakDin"/>
      <w:bookmarkEnd w:id="3"/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גזר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hanging="87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4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 הורשע על פי ראיות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>ירי באיזור מגורים</w:t>
      </w:r>
      <w:r>
        <w:rPr>
          <w:rtl w:val="true"/>
        </w:rPr>
        <w:t xml:space="preserve">, </w:t>
      </w:r>
      <w:r>
        <w:rPr>
          <w:rtl w:val="true"/>
        </w:rPr>
        <w:t>חבלה במזיד לרכב</w:t>
      </w:r>
      <w:r>
        <w:rPr>
          <w:rtl w:val="true"/>
        </w:rPr>
        <w:t xml:space="preserve">, </w:t>
      </w:r>
      <w:r>
        <w:rPr>
          <w:rtl w:val="true"/>
        </w:rPr>
        <w:t>איומים והפרת הוראה חוקית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4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על פי הממצאים שנקבעו בהכ</w:t>
      </w:r>
      <w:r>
        <w:rPr>
          <w:rtl w:val="true"/>
        </w:rPr>
        <w:t>"</w:t>
      </w:r>
      <w:r>
        <w:rPr>
          <w:rtl w:val="true"/>
        </w:rPr>
        <w:t xml:space="preserve">ד בתאריך </w:t>
      </w:r>
      <w:r>
        <w:rPr/>
        <w:t>21/01/09</w:t>
      </w:r>
      <w:r>
        <w:rPr>
          <w:rtl w:val="true"/>
        </w:rPr>
        <w:t xml:space="preserve">, </w:t>
      </w:r>
      <w:r>
        <w:rPr>
          <w:rtl w:val="true"/>
        </w:rPr>
        <w:t>בעת שהנאשם היה אסיר ברשיון</w:t>
      </w:r>
      <w:r>
        <w:rPr>
          <w:rtl w:val="true"/>
        </w:rPr>
        <w:t xml:space="preserve">, </w:t>
      </w:r>
      <w:r>
        <w:rPr>
          <w:rtl w:val="true"/>
        </w:rPr>
        <w:t>הפר הנאשם תנאי מעצר בית לילי בהם היה נתון מ</w:t>
      </w:r>
      <w:hyperlink r:id="rId2">
        <w:r>
          <w:rPr>
            <w:rStyle w:val="Hyperlink"/>
            <w:color w:val="0000FF"/>
            <w:u w:val="single"/>
            <w:rtl w:val="true"/>
          </w:rPr>
          <w:t xml:space="preserve">אז </w:t>
        </w:r>
        <w:r>
          <w:rPr>
            <w:rStyle w:val="Hyperlink"/>
            <w:color w:val="0000FF"/>
            <w:u w:val="single"/>
          </w:rPr>
          <w:t>17/07/08</w:t>
        </w:r>
      </w:hyperlink>
      <w:r>
        <w:rPr>
          <w:rtl w:val="true"/>
        </w:rPr>
        <w:t xml:space="preserve">, </w:t>
      </w:r>
      <w:r>
        <w:rPr>
          <w:rtl w:val="true"/>
        </w:rPr>
        <w:t>יצא את הבית</w:t>
      </w:r>
      <w:r>
        <w:rPr>
          <w:rtl w:val="true"/>
        </w:rPr>
        <w:t xml:space="preserve">, </w:t>
      </w:r>
      <w:r>
        <w:rPr>
          <w:rtl w:val="true"/>
        </w:rPr>
        <w:t>החזיק באקדח וירה לעבר רכבו של דודו</w:t>
      </w:r>
      <w:r>
        <w:rPr>
          <w:rtl w:val="true"/>
        </w:rPr>
        <w:t xml:space="preserve">, </w:t>
      </w:r>
      <w:r>
        <w:rPr>
          <w:rtl w:val="true"/>
        </w:rPr>
        <w:t>אימאן מסארווה</w:t>
      </w:r>
      <w:r>
        <w:rPr>
          <w:rtl w:val="true"/>
        </w:rPr>
        <w:t xml:space="preserve">, </w:t>
      </w:r>
      <w:r>
        <w:rPr>
          <w:rtl w:val="true"/>
        </w:rPr>
        <w:t xml:space="preserve">שחנה אותה עת בסמוך לביתו </w:t>
      </w:r>
      <w:r>
        <w:rPr>
          <w:rtl w:val="true"/>
        </w:rPr>
        <w:t>(</w:t>
      </w:r>
      <w:r>
        <w:rPr>
          <w:rtl w:val="true"/>
        </w:rPr>
        <w:t>של הדוד</w:t>
      </w:r>
      <w:r>
        <w:rPr>
          <w:rtl w:val="true"/>
        </w:rPr>
        <w:t xml:space="preserve">) </w:t>
      </w:r>
      <w:r>
        <w:rPr>
          <w:rtl w:val="true"/>
        </w:rPr>
        <w:t>בטייבה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הדוד ראה את הנאשם יורה ושאל אותו מדוע הוא יורה על המכונית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ירה הנאשם לעבר ביתו של אימאן ואיים שיהרוג את כולם ונמלט 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 מכך ניזוק רכבו של אימאן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החזיק בנשק מבלי שהיה מורשה להחזיק 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numPr>
          <w:ilvl w:val="0"/>
          <w:numId w:val="1"/>
        </w:numPr>
        <w:spacing w:lineRule="auto" w:line="360"/>
        <w:ind w:hanging="870" w:start="-4" w:end="0"/>
        <w:jc w:val="both"/>
        <w:rPr/>
      </w:pPr>
      <w:r>
        <w:rPr>
          <w:rtl w:val="true"/>
        </w:rPr>
        <w:t xml:space="preserve">הנאשם יליד </w:t>
      </w:r>
      <w:r>
        <w:rPr/>
        <w:t>1987</w:t>
      </w:r>
      <w:r>
        <w:rPr>
          <w:rtl w:val="true"/>
        </w:rPr>
        <w:t xml:space="preserve">. </w:t>
      </w:r>
      <w:r>
        <w:rPr>
          <w:rtl w:val="true"/>
        </w:rPr>
        <w:t>למרות גילו הצעיר</w:t>
      </w:r>
      <w:r>
        <w:rPr>
          <w:rtl w:val="true"/>
        </w:rPr>
        <w:t xml:space="preserve">, </w:t>
      </w:r>
      <w:r>
        <w:rPr>
          <w:rtl w:val="true"/>
        </w:rPr>
        <w:t>עברו הפלילי מכביד 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בעברו הרשעות בעבירות של ניסיון לתקיפת שוטר כשהעבריין מזוין</w:t>
      </w:r>
      <w:r>
        <w:rPr>
          <w:rtl w:val="true"/>
        </w:rPr>
        <w:t xml:space="preserve">, </w:t>
      </w:r>
      <w:r>
        <w:rPr>
          <w:rtl w:val="true"/>
        </w:rPr>
        <w:t>החזקת סמים מסוכנים לצריכה עצמית</w:t>
      </w:r>
      <w:r>
        <w:rPr>
          <w:rtl w:val="true"/>
        </w:rPr>
        <w:t xml:space="preserve">, </w:t>
      </w:r>
      <w:r>
        <w:rPr>
          <w:rtl w:val="true"/>
        </w:rPr>
        <w:t>הפרת הוראה חוקית</w:t>
      </w:r>
      <w:r>
        <w:rPr>
          <w:rtl w:val="true"/>
        </w:rPr>
        <w:t xml:space="preserve">, </w:t>
      </w:r>
      <w:r>
        <w:rPr>
          <w:rtl w:val="true"/>
        </w:rPr>
        <w:t>פריצה לרכב</w:t>
      </w:r>
      <w:r>
        <w:rPr>
          <w:rtl w:val="true"/>
        </w:rPr>
        <w:t xml:space="preserve">, </w:t>
      </w:r>
      <w:r>
        <w:rPr>
          <w:rtl w:val="true"/>
        </w:rPr>
        <w:t>חבלה במזיד ברכב</w:t>
      </w:r>
      <w:r>
        <w:rPr>
          <w:rtl w:val="true"/>
        </w:rPr>
        <w:t xml:space="preserve">, </w:t>
      </w:r>
      <w:r>
        <w:rPr>
          <w:rtl w:val="true"/>
        </w:rPr>
        <w:t>החזקת מכשירי פריצה</w:t>
      </w:r>
      <w:r>
        <w:rPr>
          <w:rtl w:val="true"/>
        </w:rPr>
        <w:t xml:space="preserve">, </w:t>
      </w:r>
      <w:r>
        <w:rPr>
          <w:rtl w:val="true"/>
        </w:rPr>
        <w:t>התפרצות למגורים</w:t>
      </w:r>
      <w:r>
        <w:rPr>
          <w:rtl w:val="true"/>
        </w:rPr>
        <w:t xml:space="preserve">, </w:t>
      </w:r>
      <w:r>
        <w:rPr>
          <w:rtl w:val="true"/>
        </w:rPr>
        <w:t>סיכון חיי אדם בנתיב תחבורה והריגה</w:t>
      </w:r>
      <w:r>
        <w:rPr>
          <w:rtl w:val="true"/>
        </w:rPr>
        <w:t xml:space="preserve">, </w:t>
      </w:r>
      <w:r>
        <w:rPr>
          <w:rtl w:val="true"/>
        </w:rPr>
        <w:t xml:space="preserve">בגינה ריצה מאסר של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 xml:space="preserve">שנים במצטבר למאסר אחר אותו ריצה אותה עת </w:t>
      </w:r>
      <w:r>
        <w:rPr>
          <w:rtl w:val="true"/>
        </w:rPr>
        <w:t>(</w:t>
      </w:r>
      <w:r>
        <w:rPr>
          <w:rtl w:val="true"/>
        </w:rPr>
        <w:t>ההרשעה בעבירת ההריגה איננה מופיעה בגיליון הרישום הפלילי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נגד הנאשם תלויים ועומדים שני מאסרים על תנאי ל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המאסר על תנאי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הוטל ב</w:t>
      </w:r>
      <w:hyperlink r:id="rId3">
        <w:r>
          <w:rPr>
            <w:rStyle w:val="Hyperlink"/>
            <w:color w:val="0000FF"/>
            <w:u w:val="single"/>
            <w:rtl w:val="true"/>
          </w:rPr>
          <w:t xml:space="preserve">תיק פלילי </w:t>
        </w:r>
        <w:r>
          <w:rPr>
            <w:rStyle w:val="Hyperlink"/>
            <w:color w:val="0000FF"/>
            <w:u w:val="single"/>
          </w:rPr>
          <w:t>610/04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22.7.04</w:t>
      </w:r>
      <w:r>
        <w:rPr>
          <w:rtl w:val="true"/>
        </w:rPr>
        <w:t xml:space="preserve"> (</w:t>
      </w:r>
      <w:r>
        <w:rPr>
          <w:rtl w:val="true"/>
        </w:rPr>
        <w:t xml:space="preserve">ולא כפי שנרשם בגיליון ההרשעות הקודמות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תיק פלילי </w:t>
        </w:r>
        <w:r>
          <w:rPr>
            <w:rStyle w:val="Hyperlink"/>
            <w:color w:val="0000FF"/>
            <w:u w:val="single"/>
          </w:rPr>
          <w:t>674/04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10.11.05</w:t>
      </w:r>
      <w:r>
        <w:rPr>
          <w:rtl w:val="true"/>
        </w:rPr>
        <w:t xml:space="preserve">. </w:t>
      </w:r>
      <w:r>
        <w:rPr>
          <w:rtl w:val="true"/>
        </w:rPr>
        <w:t>הדיווח בגיליון ההרשעות הפנימי הוא דיווח לא נכון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4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עברו הפלילי של הנאשם מלמד כי הוא פגע רע</w:t>
      </w:r>
      <w:r>
        <w:rPr>
          <w:rtl w:val="true"/>
        </w:rPr>
        <w:t xml:space="preserve">, </w:t>
      </w:r>
      <w:r>
        <w:rPr>
          <w:rtl w:val="true"/>
        </w:rPr>
        <w:t>הוא חוזר ומבצע עבירות וגם המאסרים על תנאי אינם מרתיעים אותו</w:t>
      </w:r>
      <w:r>
        <w:rPr>
          <w:rtl w:val="true"/>
        </w:rPr>
        <w:t xml:space="preserve">. </w:t>
      </w:r>
      <w:r>
        <w:rPr>
          <w:rtl w:val="true"/>
        </w:rPr>
        <w:t xml:space="preserve">הנאשם איננו </w:t>
      </w:r>
      <w:r>
        <w:rPr>
          <w:rtl w:val="true"/>
        </w:rPr>
        <w:t>"</w:t>
      </w:r>
      <w:r>
        <w:rPr>
          <w:rtl w:val="true"/>
        </w:rPr>
        <w:t>בוחל</w:t>
      </w:r>
      <w:r>
        <w:rPr>
          <w:rtl w:val="true"/>
        </w:rPr>
        <w:t xml:space="preserve">" </w:t>
      </w:r>
      <w:r>
        <w:rPr>
          <w:rtl w:val="true"/>
        </w:rPr>
        <w:t>בשום עבירה</w:t>
      </w:r>
      <w:r>
        <w:rPr>
          <w:rtl w:val="true"/>
        </w:rPr>
        <w:t xml:space="preserve">. </w:t>
      </w:r>
      <w:r>
        <w:rPr>
          <w:rtl w:val="true"/>
        </w:rPr>
        <w:t>ידו בכל</w:t>
      </w:r>
      <w:r>
        <w:rPr>
          <w:rtl w:val="true"/>
        </w:rPr>
        <w:t xml:space="preserve">. </w:t>
      </w:r>
      <w:r>
        <w:rPr>
          <w:rtl w:val="true"/>
        </w:rPr>
        <w:t>עבירות 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נשק ואפילו קיפוח חיי 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ביצע את העבירות כלפי מכונית של דודו מבלי שקדם לכך סכסוך</w:t>
      </w:r>
      <w:r>
        <w:rPr>
          <w:rtl w:val="true"/>
        </w:rPr>
        <w:t xml:space="preserve">. </w:t>
      </w:r>
      <w:r>
        <w:rPr>
          <w:rtl w:val="true"/>
        </w:rPr>
        <w:t>מכונית אחיו ניזוקה באותו לילה והוא סבר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שמשפחת הדוד אחראית 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4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התביעה עותרת לענישה מחמירה והפעלת המאסרים על תנאי 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 מבקש לנהוג עם הנאשם לפנים משורת הדין</w:t>
      </w:r>
      <w:r>
        <w:rPr>
          <w:rtl w:val="true"/>
        </w:rPr>
        <w:t xml:space="preserve">. </w:t>
      </w:r>
      <w:r>
        <w:rPr>
          <w:rtl w:val="true"/>
        </w:rPr>
        <w:t>הוא פרט נסיבותיו האישיות של הנאשם ומבקש לשקול לקולא את העובדה שהירי לא בוצע כלפי אדם וגם לא הייתה לו כוונה לעשות כן</w:t>
      </w:r>
      <w:r>
        <w:rPr>
          <w:rtl w:val="true"/>
        </w:rPr>
        <w:t xml:space="preserve">. </w:t>
      </w:r>
      <w:r>
        <w:rPr>
          <w:rtl w:val="true"/>
        </w:rPr>
        <w:t>ועוד לקולא</w:t>
      </w:r>
      <w:r>
        <w:rPr>
          <w:rtl w:val="true"/>
        </w:rPr>
        <w:t xml:space="preserve">, </w:t>
      </w:r>
      <w:r>
        <w:rPr>
          <w:rtl w:val="true"/>
        </w:rPr>
        <w:t>הצהרתם של המתלוננים בביהמ</w:t>
      </w:r>
      <w:r>
        <w:rPr>
          <w:rtl w:val="true"/>
        </w:rPr>
        <w:t>"</w:t>
      </w:r>
      <w:r>
        <w:rPr>
          <w:rtl w:val="true"/>
        </w:rPr>
        <w:t>ש שהם סולחים 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ציין הסניגור כי העבירות בוצעו בעת שהנאשם היה אסיר ברישיון לתקופה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וכל עונש מאסר שירצה הנאשם בתיק זה יתווספו לו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4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החזקת נשק ללא היתר היה עבירה חמורה ביותר</w:t>
      </w:r>
      <w:r>
        <w:rPr>
          <w:rtl w:val="true"/>
        </w:rPr>
        <w:t xml:space="preserve">, </w:t>
      </w:r>
      <w:r>
        <w:rPr>
          <w:rtl w:val="true"/>
        </w:rPr>
        <w:t>קל וחומר מי שעושה שימוש בנשק</w:t>
      </w:r>
      <w:r>
        <w:rPr>
          <w:rtl w:val="true"/>
        </w:rPr>
        <w:t xml:space="preserve">. </w:t>
      </w:r>
      <w:r>
        <w:rPr>
          <w:rtl w:val="true"/>
        </w:rPr>
        <w:t>למזלו של הנאשם לא הסתיים הירי בתוצאה קשה יותר של פגיעה בחיי 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ביצע את העבירות כשהוא אסיר ברישיון</w:t>
      </w:r>
      <w:r>
        <w:rPr>
          <w:rtl w:val="true"/>
        </w:rPr>
        <w:t xml:space="preserve">, </w:t>
      </w:r>
      <w:r>
        <w:rPr>
          <w:rtl w:val="true"/>
        </w:rPr>
        <w:t>עברו מכביד ביותר ומאסרים על תנאי תלויים ועומדים</w:t>
      </w:r>
      <w:r>
        <w:rPr>
          <w:rtl w:val="true"/>
        </w:rPr>
        <w:t xml:space="preserve">, </w:t>
      </w:r>
      <w:r>
        <w:rPr>
          <w:rtl w:val="true"/>
        </w:rPr>
        <w:t>אין עליו מורא 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/>
      </w:pPr>
      <w:r>
        <w:rPr>
          <w:rtl w:val="true"/>
        </w:rPr>
        <w:t>לאחר שנשקלו על ידי כל השיקולים הרלוונטיי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אני דנה את הנאשם לעונשים הבאים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אני מפעילה את המאסרים על תנאי התלויים ועומדים נגד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מיום </w:t>
      </w:r>
      <w:r>
        <w:rPr/>
        <w:t>23.1.06</w:t>
      </w:r>
      <w:r>
        <w:rPr>
          <w:rtl w:val="true"/>
        </w:rPr>
        <w:t xml:space="preserve"> </w:t>
      </w:r>
      <w:r>
        <w:rPr>
          <w:rtl w:val="true"/>
        </w:rPr>
        <w:t>מ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610/04</w:t>
        </w:r>
      </w:hyperlink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 לנוער כפר סבא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מיום </w:t>
      </w:r>
      <w:r>
        <w:rPr/>
        <w:t>12.9.06</w:t>
      </w:r>
      <w:r>
        <w:rPr>
          <w:rtl w:val="true"/>
        </w:rPr>
        <w:t xml:space="preserve"> </w:t>
      </w:r>
      <w:r>
        <w:rPr>
          <w:rtl w:val="true"/>
        </w:rPr>
        <w:t>מ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1779/06</w:t>
        </w:r>
      </w:hyperlink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 שלום כפר סבא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 המאסרים על תנאי ירוצו בחופף ובמצטבר למאסר בפועל שהוטל בתיק 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/>
          <w:bCs/>
          <w:u w:val="double"/>
          <w:rtl w:val="true"/>
        </w:rPr>
        <w:t>סה</w:t>
      </w:r>
      <w:r>
        <w:rPr>
          <w:b/>
          <w:bCs/>
          <w:u w:val="double"/>
          <w:rtl w:val="true"/>
        </w:rPr>
        <w:t>"</w:t>
      </w:r>
      <w:r>
        <w:rPr>
          <w:b/>
          <w:b/>
          <w:bCs/>
          <w:u w:val="double"/>
          <w:rtl w:val="true"/>
        </w:rPr>
        <w:t xml:space="preserve">כ </w:t>
      </w:r>
      <w:r>
        <w:rPr>
          <w:b/>
          <w:b/>
          <w:bCs/>
          <w:u w:val="double"/>
          <w:rtl w:val="true"/>
        </w:rPr>
        <w:t>–</w:t>
      </w:r>
      <w:r>
        <w:rPr>
          <w:b/>
          <w:b/>
          <w:bCs/>
          <w:u w:val="double"/>
          <w:rtl w:val="true"/>
        </w:rPr>
        <w:t xml:space="preserve"> </w:t>
      </w:r>
      <w:r>
        <w:rPr>
          <w:b/>
          <w:bCs/>
          <w:u w:val="double"/>
        </w:rPr>
        <w:t>42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 xml:space="preserve">חודשי מאסר בפועל ומניינם מיום מעצרו </w:t>
      </w:r>
      <w:r>
        <w:rPr>
          <w:b/>
          <w:bCs/>
          <w:u w:val="double"/>
        </w:rPr>
        <w:t>30.1.09</w:t>
      </w:r>
      <w:r>
        <w:rPr>
          <w:b/>
          <w:bCs/>
          <w:u w:val="double"/>
          <w:rtl w:val="true"/>
        </w:rPr>
        <w:t>._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מהכלא שלא יעבור עבירה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וכן עבירת רכוש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גזר הדין שלא יעבור עבירת 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הנאשם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ק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color w:val="000000"/>
          <w:sz w:val="22"/>
          <w:szCs w:val="22"/>
        </w:rPr>
        <w:t>54678313-1154/09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קלרה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יניאנו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מימוני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8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/Users/liorb/Downloads/study2025-p2/SH-09-1154-793.doc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1154-09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סיף מסארוה בן ריאד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end"/>
      <w:pPr>
        <w:ind w:start="4" w:hanging="87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4;&#1488;%2017/07/08" TargetMode="External"/><Relationship Id="rId3" Type="http://schemas.openxmlformats.org/officeDocument/2006/relationships/hyperlink" Target="http://www.nevo.co.il/links/psika/?link=&#1514;&#1508;%20610/04" TargetMode="External"/><Relationship Id="rId4" Type="http://schemas.openxmlformats.org/officeDocument/2006/relationships/hyperlink" Target="http://www.nevo.co.il/links/psika/?link=&#1514;&#1508;%20674/04" TargetMode="External"/><Relationship Id="rId5" Type="http://schemas.openxmlformats.org/officeDocument/2006/relationships/hyperlink" Target="http://www.nevo.co.il/links/psika/?link=&#1514;&#1508;%20610/04" TargetMode="External"/><Relationship Id="rId6" Type="http://schemas.openxmlformats.org/officeDocument/2006/relationships/hyperlink" Target="http://www.nevo.co.il/links/psika/?link=&#1514;&#1508;%201779/06" TargetMode="External"/><Relationship Id="rId7" Type="http://schemas.openxmlformats.org/officeDocument/2006/relationships/hyperlink" Target="http://www.nevo.co.il/law_html/law01/073_002.htm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2010-01-08T22:07:00Z</dcterms:created>
  <dc:creator> </dc:creator>
  <dc:description/>
  <cp:keywords/>
  <dc:language>en-IL</dc:language>
  <cp:lastModifiedBy>comp</cp:lastModifiedBy>
  <dcterms:modified xsi:type="dcterms:W3CDTF">2010-01-10T12:41:00Z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סיף מסארוה בן ריאד</vt:lpwstr>
  </property>
  <property fmtid="{D5CDD505-2E9C-101B-9397-08002B2CF9AE}" pid="4" name="CITY">
    <vt:lpwstr>כ"ס</vt:lpwstr>
  </property>
  <property fmtid="{D5CDD505-2E9C-101B-9397-08002B2CF9AE}" pid="5" name="DATE">
    <vt:lpwstr>20100107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ק. רג'יניאנו</vt:lpwstr>
  </property>
  <property fmtid="{D5CDD505-2E9C-101B-9397-08002B2CF9AE}" pid="9" name="LAWYER">
    <vt:lpwstr>פיקר;סיף מסארוה בן ריאד ;נאשף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1154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1154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09 1154 793 htm</vt:lpwstr>
  </property>
  <property fmtid="{D5CDD505-2E9C-101B-9397-08002B2CF9AE}" pid="34" name="TYPE">
    <vt:lpwstr>3</vt:lpwstr>
  </property>
  <property fmtid="{D5CDD505-2E9C-101B-9397-08002B2CF9AE}" pid="35" name="TYPE_ABS_DATE">
    <vt:lpwstr>380020100107</vt:lpwstr>
  </property>
  <property fmtid="{D5CDD505-2E9C-101B-9397-08002B2CF9AE}" pid="36" name="TYPE_N_DATE">
    <vt:lpwstr>38020100107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