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11581-07-10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חאטום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480"/>
        <w:gridCol w:w="82"/>
      </w:tblGrid>
      <w:tr>
        <w:trPr>
          <w:trHeight w:val="337" w:hRule="atLeast"/>
        </w:trPr>
        <w:tc>
          <w:tcPr>
            <w:tcW w:w="87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כריסטיאן אבו חאטום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עמית פרלה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– הופיע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יעקב שלמוביץ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ממשרד תמי אולמן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hyperlink r:id="rId2">
        <w:r>
          <w:rPr>
            <w:rStyle w:val="Hyperlink"/>
            <w:rFonts w:ascii="FrankRuehl" w:hAnsi="FrankRuehl" w:cs="FrankRuehl"/>
            <w:rtl w:val="true"/>
          </w:rPr>
          <w:t>ברק מבחר כתבים</w:t>
        </w:r>
      </w:hyperlink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כהן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י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זמיר עורכים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תש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ס</w:t>
      </w:r>
      <w:r>
        <w:rPr>
          <w:rFonts w:cs="FrankRuehl" w:ascii="FrankRuehl" w:hAnsi="FrankRuehl"/>
          <w:color w:val="000000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Start"/>
      <w:bookmarkEnd w:id="7"/>
      <w:r>
        <w:rPr>
          <w:rFonts w:ascii="FrankRuehl" w:hAnsi="FrankRuehl" w:cs="FrankRuehl"/>
          <w:rtl w:val="true"/>
        </w:rPr>
        <w:t>ספרות</w:t>
      </w:r>
      <w:hyperlink r:id="rId4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ברק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מבחר כתבים א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כהן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זמיר עורכים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ס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  <w:bookmarkStart w:id="8" w:name="Links_End"/>
      <w:bookmarkStart w:id="9" w:name="Links_End"/>
      <w:bookmarkEnd w:id="9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uppressLineNumbers/>
        <w:spacing w:lineRule="auto" w:line="360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tl w:val="true"/>
        </w:rPr>
        <w:t xml:space="preserve"> הורשע על פי הודאתו</w:t>
      </w:r>
      <w:r>
        <w:rPr>
          <w:rtl w:val="true"/>
        </w:rPr>
        <w:t xml:space="preserve"> בעובדות כתב האישום 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ביצוע </w:t>
      </w:r>
      <w:r>
        <w:rPr>
          <w:rtl w:val="true"/>
        </w:rPr>
        <w:t>עביר</w:t>
      </w:r>
      <w:r>
        <w:rPr>
          <w:rtl w:val="true"/>
        </w:rPr>
        <w:t xml:space="preserve">ה של </w:t>
      </w:r>
      <w:r>
        <w:rPr>
          <w:b/>
          <w:b/>
          <w:bCs/>
          <w:rtl w:val="true"/>
        </w:rPr>
        <w:t>החזקת נשק</w:t>
      </w:r>
      <w:r>
        <w:rPr>
          <w:rtl w:val="true"/>
        </w:rPr>
        <w:t xml:space="preserve"> </w:t>
      </w:r>
      <w:r>
        <w:rPr>
          <w:rtl w:val="true"/>
        </w:rPr>
        <w:t>לפי סעי</w:t>
      </w:r>
      <w:r>
        <w:rPr>
          <w:rtl w:val="true"/>
        </w:rPr>
        <w:t xml:space="preserve">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bookmarkStart w:id="14" w:name="ABSTRACT_END"/>
      <w:bookmarkEnd w:id="14"/>
      <w:r>
        <w:rPr>
          <w:rtl w:val="true"/>
        </w:rPr>
        <w:t xml:space="preserve">ביום </w:t>
      </w:r>
      <w:r>
        <w:rPr/>
        <w:t>07/07/10</w:t>
      </w:r>
      <w:r>
        <w:rPr>
          <w:rtl w:val="true"/>
        </w:rPr>
        <w:t xml:space="preserve"> </w:t>
      </w:r>
      <w:r>
        <w:rPr>
          <w:rtl w:val="true"/>
        </w:rPr>
        <w:t>החזיק הנאשם בביתו ביפיע</w:t>
      </w:r>
      <w:r>
        <w:rPr>
          <w:rtl w:val="true"/>
        </w:rPr>
        <w:t xml:space="preserve">, </w:t>
      </w:r>
      <w:r>
        <w:rPr>
          <w:rtl w:val="true"/>
        </w:rPr>
        <w:t xml:space="preserve">רובה מסוג </w:t>
      </w:r>
      <w:r>
        <w:rPr>
          <w:rtl w:val="true"/>
        </w:rPr>
        <w:t>"</w:t>
      </w:r>
      <w:r>
        <w:rPr>
          <w:rtl w:val="true"/>
        </w:rPr>
        <w:t xml:space="preserve">קרל </w:t>
      </w:r>
      <w:r>
        <w:rPr>
          <w:rtl w:val="true"/>
        </w:rPr>
        <w:t>–</w:t>
      </w:r>
      <w:r>
        <w:rPr>
          <w:rtl w:val="true"/>
        </w:rPr>
        <w:t xml:space="preserve"> גוסטב</w:t>
      </w:r>
      <w:r>
        <w:rPr>
          <w:rtl w:val="true"/>
        </w:rPr>
        <w:t xml:space="preserve">" </w:t>
      </w:r>
      <w:r>
        <w:rPr>
          <w:rtl w:val="true"/>
        </w:rPr>
        <w:t xml:space="preserve">יחד עם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מוסלקים בתיק בד וכן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בקוטר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 לפיו</w:t>
      </w:r>
      <w:r>
        <w:rPr>
          <w:rtl w:val="true"/>
        </w:rPr>
        <w:t xml:space="preserve">, </w:t>
      </w:r>
      <w:r>
        <w:rPr>
          <w:rtl w:val="true"/>
        </w:rPr>
        <w:t>לאחר קבלת תסקיר בעניינו של הנאשם</w:t>
      </w:r>
      <w:r>
        <w:rPr>
          <w:rtl w:val="true"/>
        </w:rPr>
        <w:t xml:space="preserve">, </w:t>
      </w:r>
      <w:r>
        <w:rPr>
          <w:rtl w:val="true"/>
        </w:rPr>
        <w:t>התביעה תטען לעונש מאסר בפועל של שנה</w:t>
      </w:r>
      <w:r>
        <w:rPr>
          <w:rtl w:val="true"/>
        </w:rPr>
        <w:t xml:space="preserve">, </w:t>
      </w:r>
      <w:r>
        <w:rPr>
          <w:rtl w:val="true"/>
        </w:rPr>
        <w:t>מאסר על תנאי וקנס וההגנה תטען באופן 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5"/>
        <w:ind w:hanging="0" w:start="0" w:end="0"/>
        <w:jc w:val="start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תסקיר שירות המבחן</w:t>
      </w:r>
    </w:p>
    <w:p>
      <w:pPr>
        <w:pStyle w:val="Heading5"/>
        <w:ind w:hanging="0" w:start="0" w:end="0"/>
        <w:jc w:val="start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 שירות המבחן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הינו כבן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 ואב לשלושה ילדים</w:t>
      </w:r>
      <w:r>
        <w:rPr>
          <w:rtl w:val="true"/>
        </w:rPr>
        <w:t xml:space="preserve">. </w:t>
      </w:r>
      <w:r>
        <w:rPr>
          <w:rtl w:val="true"/>
        </w:rPr>
        <w:t>הנאשם ספר במקצועו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הציג בפני שירות המבחן חוות דעת מגורמים רשמיים ופרטים באשר לאופיו</w:t>
      </w:r>
      <w:r>
        <w:rPr>
          <w:rtl w:val="true"/>
        </w:rPr>
        <w:t xml:space="preserve">, </w:t>
      </w:r>
      <w:r>
        <w:rPr>
          <w:rtl w:val="true"/>
        </w:rPr>
        <w:t>שמו הטוב ותרומתו לחברה</w:t>
      </w:r>
      <w:r>
        <w:rPr>
          <w:rtl w:val="true"/>
        </w:rPr>
        <w:t xml:space="preserve">. </w:t>
      </w:r>
      <w:r>
        <w:rPr>
          <w:rtl w:val="true"/>
        </w:rPr>
        <w:t>הנאשם קיבל אחריות למיוחס 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נקלע למריבה עם אנשים בעייתיים בכפר</w:t>
      </w:r>
      <w:r>
        <w:rPr>
          <w:rtl w:val="true"/>
        </w:rPr>
        <w:t xml:space="preserve">, </w:t>
      </w:r>
      <w:r>
        <w:rPr>
          <w:rtl w:val="true"/>
        </w:rPr>
        <w:t>שניסו לפגוע בו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פנה למשטרה מספר פעמים והיא לא פעלה לספק לו ולבני משפחתו ביטחון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לא התרשם ממוקדי קשיים בחייו הדורשים התערבות השירות והמליץ על מאסר בדרך של 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5"/>
        <w:ind w:hanging="0" w:start="0" w:end="0"/>
        <w:jc w:val="start"/>
        <w:rPr>
          <w:b w:val="false"/>
          <w:bCs w:val="false"/>
          <w:sz w:val="24"/>
        </w:rPr>
      </w:pPr>
      <w:r>
        <w:rPr>
          <w:b w:val="false"/>
          <w:b w:val="false"/>
          <w:bCs w:val="false"/>
          <w:sz w:val="24"/>
          <w:sz w:val="24"/>
          <w:rtl w:val="true"/>
        </w:rPr>
        <w:t>טיעוני הצדדים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טען</w:t>
      </w:r>
      <w:r>
        <w:rPr>
          <w:rtl w:val="true"/>
        </w:rPr>
        <w:t xml:space="preserve">, </w:t>
      </w:r>
      <w:r>
        <w:rPr>
          <w:rtl w:val="true"/>
        </w:rPr>
        <w:t>כי ל</w:t>
      </w:r>
      <w:r>
        <w:rPr>
          <w:rtl w:val="true"/>
        </w:rPr>
        <w:t>חובת</w:t>
      </w:r>
      <w:r>
        <w:rPr>
          <w:rtl w:val="true"/>
        </w:rPr>
        <w:t xml:space="preserve"> הנאשם</w:t>
      </w:r>
      <w:r>
        <w:rPr>
          <w:rtl w:val="true"/>
        </w:rPr>
        <w:t xml:space="preserve"> הרשעה קודמת אחת</w:t>
      </w:r>
      <w:r>
        <w:rPr>
          <w:rtl w:val="true"/>
        </w:rPr>
        <w:t xml:space="preserve">, </w:t>
      </w:r>
      <w:r>
        <w:rPr>
          <w:rtl w:val="true"/>
        </w:rPr>
        <w:t>בגינה ריצה עבודות שירות</w:t>
      </w:r>
      <w:r>
        <w:rPr>
          <w:rtl w:val="true"/>
        </w:rPr>
        <w:t xml:space="preserve">. </w:t>
      </w:r>
      <w:r>
        <w:rPr>
          <w:rtl w:val="true"/>
        </w:rPr>
        <w:t>נוכח חומרת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החזקת רובה </w:t>
      </w:r>
      <w:r>
        <w:rPr>
          <w:rtl w:val="true"/>
        </w:rPr>
        <w:t>ו</w:t>
      </w:r>
      <w:r>
        <w:rPr>
          <w:rtl w:val="true"/>
        </w:rPr>
        <w:t>לא אקדח קטן ו</w:t>
      </w:r>
      <w:r>
        <w:rPr>
          <w:rtl w:val="true"/>
        </w:rPr>
        <w:t xml:space="preserve">כן החזקת </w:t>
      </w:r>
      <w:r>
        <w:rPr>
          <w:rtl w:val="true"/>
        </w:rPr>
        <w:t>למעלה מ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 תחמושת</w:t>
      </w:r>
      <w:r>
        <w:rPr>
          <w:rtl w:val="true"/>
        </w:rPr>
        <w:t xml:space="preserve">, </w:t>
      </w:r>
      <w:r>
        <w:rPr>
          <w:rtl w:val="true"/>
        </w:rPr>
        <w:t xml:space="preserve">ראוי לשלוח את הנאשם למאסר </w:t>
      </w:r>
      <w:r>
        <w:rPr>
          <w:rtl w:val="true"/>
        </w:rPr>
        <w:t>בפועל ממש</w:t>
      </w:r>
      <w:r>
        <w:rPr>
          <w:rtl w:val="true"/>
        </w:rPr>
        <w:t xml:space="preserve">. </w:t>
      </w:r>
      <w:r>
        <w:rPr>
          <w:rtl w:val="true"/>
        </w:rPr>
        <w:t>התובע ציין את ה</w:t>
      </w:r>
      <w:r>
        <w:rPr>
          <w:rtl w:val="true"/>
        </w:rPr>
        <w:t xml:space="preserve">שימוש </w:t>
      </w:r>
      <w:r>
        <w:rPr>
          <w:rtl w:val="true"/>
        </w:rPr>
        <w:t>ה</w:t>
      </w:r>
      <w:r>
        <w:rPr>
          <w:rtl w:val="true"/>
        </w:rPr>
        <w:t>גובר ו</w:t>
      </w:r>
      <w:r>
        <w:rPr>
          <w:rtl w:val="true"/>
        </w:rPr>
        <w:t>ה</w:t>
      </w:r>
      <w:r>
        <w:rPr>
          <w:rtl w:val="true"/>
        </w:rPr>
        <w:t>הולך בכלי נשק על ידי גורמים שונים מסיבות שונות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 לאמץ את רף הענישה הקבוע בפסיקה</w:t>
      </w:r>
      <w:r>
        <w:rPr>
          <w:rtl w:val="true"/>
        </w:rPr>
        <w:t xml:space="preserve">, </w:t>
      </w:r>
      <w:r>
        <w:rPr>
          <w:rtl w:val="true"/>
        </w:rPr>
        <w:t xml:space="preserve">לדחות את המלצת שירות המבחן ולהשית על הנאשם </w:t>
      </w:r>
      <w:r>
        <w:rPr>
          <w:rtl w:val="true"/>
        </w:rPr>
        <w:t>מאסר בפועל</w:t>
      </w:r>
      <w:r>
        <w:rPr>
          <w:rtl w:val="true"/>
        </w:rPr>
        <w:t xml:space="preserve"> לתקופה של שנה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טענה כי הנאשם הודה במיוחס לו ו</w:t>
      </w:r>
      <w:r>
        <w:rPr>
          <w:rtl w:val="true"/>
        </w:rPr>
        <w:t>הביע חרטה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>
          <w:rtl w:val="true"/>
        </w:rPr>
        <w:t xml:space="preserve">לא הוציא </w:t>
      </w:r>
      <w:r>
        <w:rPr>
          <w:rtl w:val="true"/>
        </w:rPr>
        <w:t xml:space="preserve">את הנשק </w:t>
      </w:r>
      <w:r>
        <w:rPr>
          <w:rtl w:val="true"/>
        </w:rPr>
        <w:t>מחוץ לביתו</w:t>
      </w:r>
      <w:r>
        <w:rPr>
          <w:rtl w:val="true"/>
        </w:rPr>
        <w:t xml:space="preserve">, </w:t>
      </w:r>
      <w:r>
        <w:rPr>
          <w:rtl w:val="true"/>
        </w:rPr>
        <w:t>החזיק בו רק לשם הקניית ביטחון לאחר</w:t>
      </w:r>
      <w:r>
        <w:rPr>
          <w:rtl w:val="true"/>
        </w:rPr>
        <w:t xml:space="preserve"> שלאחרונה התרבו ההתנכלויות כלפי</w:t>
      </w:r>
      <w:r>
        <w:rPr>
          <w:rtl w:val="true"/>
        </w:rPr>
        <w:t>ו וכלפי משפחתו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המדובר בנשק ישן</w:t>
      </w:r>
      <w:r>
        <w:rPr>
          <w:rtl w:val="true"/>
        </w:rPr>
        <w:t xml:space="preserve">, </w:t>
      </w:r>
      <w:r>
        <w:rPr>
          <w:rtl w:val="true"/>
        </w:rPr>
        <w:t>הנאשם מעולם לא הסתובב איתו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>
          <w:rtl w:val="true"/>
        </w:rPr>
        <w:t xml:space="preserve">הינו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היה בעלים של מספרה</w:t>
      </w:r>
      <w:r>
        <w:rPr>
          <w:rtl w:val="true"/>
        </w:rPr>
        <w:t xml:space="preserve">, </w:t>
      </w:r>
      <w:r>
        <w:rPr>
          <w:rtl w:val="true"/>
        </w:rPr>
        <w:t xml:space="preserve">עבירתו האחרונה היא משנת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הנאשם היה מגיע למוסד למפגרים ומספר את כל הדיירים בו ויש בכך כדי להעיד על אישיותו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הוצגו מסמכים רבים באשר לתרומת הנאשם לקהילה</w:t>
      </w:r>
      <w:r>
        <w:rPr>
          <w:rtl w:val="true"/>
        </w:rPr>
        <w:t xml:space="preserve">. </w:t>
      </w:r>
      <w:r>
        <w:rPr>
          <w:rtl w:val="true"/>
        </w:rPr>
        <w:t>לאחרונה ובהמלצת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הבין הנאשם את </w:t>
      </w:r>
      <w:r>
        <w:rPr>
          <w:rtl w:val="true"/>
        </w:rPr>
        <w:t xml:space="preserve">חשיבות הפרנסה והתמיכה </w:t>
      </w:r>
      <w:r>
        <w:rPr>
          <w:rtl w:val="true"/>
        </w:rPr>
        <w:t>של בני המשפחה ופתח את ה</w:t>
      </w:r>
      <w:r>
        <w:rPr>
          <w:rtl w:val="true"/>
        </w:rPr>
        <w:t>מספרה בביתו</w:t>
      </w:r>
      <w:r>
        <w:rPr>
          <w:rtl w:val="true"/>
        </w:rPr>
        <w:t xml:space="preserve">. </w:t>
      </w:r>
      <w:r>
        <w:rPr>
          <w:rtl w:val="true"/>
        </w:rPr>
        <w:t>הסנגורית ביקשה להשית על הנאשם מאסר בפועל בדרך של עבודות שירות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 xml:space="preserve"> </w:t>
      </w:r>
    </w:p>
    <w:p>
      <w:pPr>
        <w:pStyle w:val="Heading9"/>
        <w:tabs>
          <w:tab w:val="clear" w:pos="720"/>
          <w:tab w:val="left" w:pos="26" w:leader="none"/>
        </w:tabs>
        <w:ind w:hanging="0" w:start="0" w:end="0"/>
        <w:jc w:val="start"/>
        <w:rPr/>
      </w:pPr>
      <w:r>
        <w:rPr>
          <w:rtl w:val="true"/>
        </w:rPr>
        <w:t>העונש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 ככלל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הינן מסוכנות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rtl w:val="true"/>
        </w:rPr>
        <w:t xml:space="preserve">חמורות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מדובר בעבירה בעלת סיכון פוטנציאלי גבוה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במקרה דנא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החזיק הנאשם בביתו רובה וכדורי תחמושת רבים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אדם המחזיק </w:t>
      </w:r>
      <w:r>
        <w:rPr>
          <w:sz w:val="24"/>
          <w:sz w:val="24"/>
          <w:szCs w:val="24"/>
          <w:rtl w:val="true"/>
        </w:rPr>
        <w:t>נשק ל</w:t>
      </w:r>
      <w:r>
        <w:rPr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מעיד על עצמו כי הוא</w:t>
      </w:r>
      <w:r>
        <w:rPr>
          <w:sz w:val="24"/>
          <w:sz w:val="24"/>
          <w:szCs w:val="24"/>
          <w:rtl w:val="true"/>
        </w:rPr>
        <w:t xml:space="preserve"> מסוכן ועל כן יש להרחיקו מהחברה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</w:p>
    <w:p>
      <w:pPr>
        <w:pStyle w:val="BodyTextIndent3"/>
        <w:tabs>
          <w:tab w:val="clear" w:pos="720"/>
          <w:tab w:val="left" w:pos="26" w:leader="none"/>
        </w:tabs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בעבירה מסוג זה נקבעה מדיניות ענישה מחמירה</w:t>
      </w:r>
      <w:r>
        <w:rPr>
          <w:rtl w:val="true"/>
        </w:rPr>
        <w:t xml:space="preserve">, </w:t>
      </w:r>
      <w:r>
        <w:rPr>
          <w:rtl w:val="true"/>
        </w:rPr>
        <w:t>הן בשל חומרת העבירה והסכנות הגלומות בה והן בשל הצורך בהרתעת עבריינים בכח</w:t>
      </w:r>
      <w:r>
        <w:rPr>
          <w:rtl w:val="true"/>
        </w:rPr>
        <w:t xml:space="preserve">. </w:t>
      </w:r>
      <w:r>
        <w:rPr>
          <w:rtl w:val="true"/>
        </w:rPr>
        <w:t>ראה לעניין זה דבריו של 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>'</w:t>
      </w:r>
      <w:r>
        <w:rPr>
          <w:rtl w:val="true"/>
        </w:rPr>
        <w:t>ובראן ב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/>
        <w:t>29/03/04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3"/>
        <w:tabs>
          <w:tab w:val="clear" w:pos="720"/>
          <w:tab w:val="left" w:pos="566" w:leader="none"/>
        </w:tabs>
        <w:ind w:hanging="0" w:start="566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 xml:space="preserve">יוער כי הסכנה הטמונה בעבירה החמורה של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החזקת נשק</w:t>
      </w:r>
      <w:r>
        <w:rPr>
          <w:b/>
          <w:b/>
          <w:bCs/>
          <w:sz w:val="24"/>
          <w:sz w:val="24"/>
          <w:szCs w:val="24"/>
          <w:rtl w:val="true"/>
        </w:rPr>
        <w:t xml:space="preserve"> מצדיקה הטלת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מאסר לריצוי בפועל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גם על מי שזו עבירתו הראשונה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בבוא בית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 xml:space="preserve">המשפט לשקול את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b/>
          <w:b/>
          <w:bCs/>
          <w:sz w:val="24"/>
          <w:sz w:val="24"/>
          <w:szCs w:val="24"/>
          <w:rtl w:val="true"/>
        </w:rPr>
        <w:t xml:space="preserve"> בעבירות מסוג זה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עליו לתת משקל נכבד יותר לאינטרס הציבורי ולצורך להרתיע </w:t>
      </w:r>
      <w:r>
        <w:rPr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b/>
          <w:b/>
          <w:bCs/>
          <w:sz w:val="24"/>
          <w:sz w:val="24"/>
          <w:szCs w:val="24"/>
          <w:rtl w:val="true"/>
        </w:rPr>
        <w:t xml:space="preserve"> בכוח מלבצע עבירות דומות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על פני הנסיבות האישיות של העבריין</w:t>
      </w:r>
      <w:r>
        <w:rPr>
          <w:b/>
          <w:bCs/>
          <w:sz w:val="24"/>
          <w:szCs w:val="24"/>
          <w:rtl w:val="true"/>
        </w:rPr>
        <w:t xml:space="preserve">".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 xml:space="preserve">הדגשה לא במקור </w:t>
      </w:r>
      <w:r>
        <w:rPr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ג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.)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/>
        <w:t>06/05/09</w:t>
      </w:r>
      <w:r>
        <w:rPr>
          <w:rtl w:val="true"/>
        </w:rPr>
        <w:t>):</w:t>
      </w:r>
    </w:p>
    <w:p>
      <w:pPr>
        <w:pStyle w:val="BodyTextIndent3"/>
        <w:tabs>
          <w:tab w:val="clear" w:pos="720"/>
          <w:tab w:val="left" w:pos="566" w:leader="none"/>
        </w:tabs>
        <w:ind w:hanging="0" w:start="566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Indent3"/>
        <w:tabs>
          <w:tab w:val="clear" w:pos="720"/>
          <w:tab w:val="left" w:pos="566" w:leader="none"/>
        </w:tabs>
        <w:ind w:hanging="0" w:start="566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החזקה של כלי נשק</w:t>
      </w:r>
      <w:r>
        <w:rPr>
          <w:b/>
          <w:b/>
          <w:bCs/>
          <w:sz w:val="24"/>
          <w:sz w:val="24"/>
          <w:szCs w:val="24"/>
          <w:rtl w:val="true"/>
        </w:rPr>
        <w:t xml:space="preserve"> על ידי מי שאינו מורשה בכך יש בה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פוטנציאל להוביל</w:t>
      </w:r>
      <w:r>
        <w:rPr>
          <w:b/>
          <w:b/>
          <w:bCs/>
          <w:sz w:val="24"/>
          <w:sz w:val="24"/>
          <w:szCs w:val="24"/>
          <w:rtl w:val="true"/>
        </w:rPr>
        <w:t xml:space="preserve"> להסלמה חמורה ולתוצאות קשות של כל אירוע בו יהיה מעורב אותו נושא נשק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וזאת אף מקום שהנשק מוחזק אך למטרות 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הגנה עצמית בלבד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 xml:space="preserve">הדגשה לא במקור </w:t>
      </w:r>
      <w:r>
        <w:rPr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ג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.).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ההגנה על האינטרס הציבורי במקרה זה מצדיקה הטלת עונש מרתיע על הנאשם וזאת על אף נסיבותיו האישיות של נאשם ספציפי זה ואיני יכול לקבל המלצתו של שירות המבחן</w:t>
      </w:r>
      <w:r>
        <w:rPr>
          <w:rtl w:val="true"/>
        </w:rPr>
        <w:t xml:space="preserve">, </w:t>
      </w:r>
      <w:r>
        <w:rPr>
          <w:rtl w:val="true"/>
        </w:rPr>
        <w:t>שלא להטיל על הנאשם עונש של מאסר בפועל לאור חומרת העבירה ועמדת בית המשפט העליון</w:t>
      </w:r>
      <w:r>
        <w:rPr>
          <w:rtl w:val="true"/>
        </w:rPr>
        <w:t xml:space="preserve">. </w:t>
      </w:r>
      <w:r>
        <w:rPr>
          <w:rtl w:val="true"/>
        </w:rPr>
        <w:t xml:space="preserve">כפי שצוטט מפיו של כבוד הנשיא </w:t>
      </w:r>
      <w:r>
        <w:rPr>
          <w:rtl w:val="true"/>
        </w:rPr>
        <w:t>(</w:t>
      </w:r>
      <w:r>
        <w:rPr>
          <w:rtl w:val="true"/>
        </w:rPr>
        <w:t>כתוארו דאז</w:t>
      </w:r>
      <w:r>
        <w:rPr>
          <w:rtl w:val="true"/>
        </w:rPr>
        <w:t xml:space="preserve">) </w:t>
      </w:r>
      <w:r>
        <w:rPr>
          <w:rtl w:val="true"/>
        </w:rPr>
        <w:t>ברק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2949/06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), </w:t>
      </w:r>
      <w:r>
        <w:rPr>
          <w:rtl w:val="true"/>
        </w:rPr>
        <w:t>בדבר מקומו של שירות המבחן בהליך הפלילי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3"/>
        <w:tabs>
          <w:tab w:val="clear" w:pos="720"/>
          <w:tab w:val="left" w:pos="566" w:leader="none"/>
        </w:tabs>
        <w:ind w:hanging="0" w:start="566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 xml:space="preserve">קצין המבחן הוא דמות מיוחדת במינה </w:t>
      </w:r>
      <w:r>
        <w:rPr>
          <w:b/>
          <w:bCs/>
          <w:sz w:val="24"/>
          <w:szCs w:val="24"/>
          <w:rtl w:val="true"/>
        </w:rPr>
        <w:t xml:space="preserve">- </w:t>
      </w:r>
      <w:r>
        <w:rPr>
          <w:b/>
          <w:bCs/>
          <w:sz w:val="24"/>
          <w:szCs w:val="24"/>
        </w:rPr>
        <w:t>sui generis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היא באה להציג בפני בית המשפט זוית ראיה מיוחדת במינה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הקשורה לאינדיבידואליזציה של העונש </w:t>
      </w:r>
      <w:r>
        <w:rPr>
          <w:b/>
          <w:bCs/>
          <w:sz w:val="24"/>
          <w:szCs w:val="24"/>
          <w:rtl w:val="true"/>
        </w:rPr>
        <w:t xml:space="preserve">. . . </w:t>
      </w:r>
      <w:r>
        <w:rPr>
          <w:b/>
          <w:b/>
          <w:bCs/>
          <w:sz w:val="24"/>
          <w:sz w:val="24"/>
          <w:szCs w:val="24"/>
          <w:rtl w:val="true"/>
        </w:rPr>
        <w:t>זוית הראיה של השופט היא הכוללת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תוצאה של מקבילית כוחות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שבה קצין המבחן הוא רק אחד הכוחות הפועלים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על כן עשוי השופט להחליט שלא לאמץ את המלצת קצין המבחן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קצין המבחן חייב לקבל זאת כנתון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אך אסור לו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כתוצאה מכך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לשנות את המלצתו ולהתאימה למה שהוא צופה כי השופט יפסוק</w:t>
      </w:r>
      <w:r>
        <w:rPr>
          <w:b/>
          <w:bCs/>
          <w:sz w:val="24"/>
          <w:szCs w:val="24"/>
          <w:rtl w:val="true"/>
        </w:rPr>
        <w:t>" (</w:t>
      </w:r>
      <w:r>
        <w:rPr>
          <w:b/>
          <w:b/>
          <w:bCs/>
          <w:sz w:val="24"/>
          <w:sz w:val="24"/>
          <w:szCs w:val="24"/>
          <w:rtl w:val="true"/>
        </w:rPr>
        <w:t>חברה ורווחה ג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Cs/>
          <w:sz w:val="24"/>
          <w:szCs w:val="24"/>
        </w:rPr>
        <w:t>162</w:t>
      </w:r>
      <w:r>
        <w:rPr>
          <w:b/>
          <w:bCs/>
          <w:sz w:val="24"/>
          <w:szCs w:val="24"/>
          <w:rtl w:val="true"/>
        </w:rPr>
        <w:t xml:space="preserve"> (</w:t>
      </w:r>
      <w:r>
        <w:rPr>
          <w:b/>
          <w:bCs/>
          <w:sz w:val="24"/>
          <w:szCs w:val="24"/>
        </w:rPr>
        <w:t>1980</w:t>
      </w:r>
      <w:r>
        <w:rPr>
          <w:b/>
          <w:bCs/>
          <w:sz w:val="24"/>
          <w:szCs w:val="24"/>
          <w:rtl w:val="true"/>
        </w:rPr>
        <w:t xml:space="preserve">); </w:t>
      </w:r>
      <w:r>
        <w:rPr>
          <w:b/>
          <w:b/>
          <w:bCs/>
          <w:sz w:val="24"/>
          <w:sz w:val="24"/>
          <w:szCs w:val="24"/>
          <w:rtl w:val="true"/>
        </w:rPr>
        <w:t>א</w:t>
      </w:r>
      <w:r>
        <w:rPr>
          <w:b/>
          <w:bCs/>
          <w:sz w:val="24"/>
          <w:szCs w:val="24"/>
          <w:rtl w:val="true"/>
        </w:rPr>
        <w:t xml:space="preserve">' </w:t>
      </w:r>
      <w:hyperlink r:id="rId10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ברק</w:t>
        </w:r>
        <w:r>
          <w:rPr>
            <w:rStyle w:val="Hyperlink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מבחר כתבים</w:t>
        </w:r>
      </w:hyperlink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 כהן ו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זמיר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עורכים</w:t>
      </w:r>
      <w:r>
        <w:rPr>
          <w:b/>
          <w:bCs/>
          <w:sz w:val="24"/>
          <w:szCs w:val="24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rtl w:val="true"/>
        </w:rPr>
        <w:t>א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Cs/>
          <w:sz w:val="24"/>
          <w:szCs w:val="24"/>
        </w:rPr>
        <w:t>653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Cs/>
          <w:sz w:val="24"/>
          <w:szCs w:val="24"/>
        </w:rPr>
        <w:t>665</w:t>
      </w:r>
      <w:r>
        <w:rPr>
          <w:b/>
          <w:bCs/>
          <w:sz w:val="24"/>
          <w:szCs w:val="24"/>
          <w:rtl w:val="true"/>
        </w:rPr>
        <w:t>).</w:t>
      </w:r>
      <w:r>
        <w:rPr>
          <w:b/>
          <w:bCs/>
          <w:sz w:val="24"/>
          <w:szCs w:val="24"/>
          <w:rtl w:val="true"/>
        </w:rPr>
        <w:t>"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המלצת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tl w:val="true"/>
        </w:rPr>
        <w:t xml:space="preserve">שירות המבחן הינה לעולם </w:t>
      </w:r>
      <w:r>
        <w:rPr>
          <w:rtl w:val="true"/>
        </w:rPr>
        <w:t xml:space="preserve">בגדר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כאשר שרות המבחן רואה לנגד עיניו את האינטרס הטמון בשיקומו של 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בית המשפט לבדו הוא האמון על האיזון הנכון</w:t>
      </w:r>
      <w:r>
        <w:rPr>
          <w:rtl w:val="true"/>
        </w:rPr>
        <w:t xml:space="preserve">, </w:t>
      </w:r>
      <w:r>
        <w:rPr>
          <w:rtl w:val="true"/>
        </w:rPr>
        <w:t xml:space="preserve">בין הפן ההרתעתי והאינטרס הציבורי </w:t>
      </w:r>
      <w:r>
        <w:rPr>
          <w:rtl w:val="true"/>
        </w:rPr>
        <w:t xml:space="preserve">לבין </w:t>
      </w:r>
      <w:r>
        <w:rPr>
          <w:rtl w:val="true"/>
        </w:rPr>
        <w:t xml:space="preserve">נסיבותיו </w:t>
      </w:r>
      <w:r>
        <w:rPr>
          <w:rtl w:val="true"/>
        </w:rPr>
        <w:t xml:space="preserve">האישיות </w:t>
      </w:r>
      <w:r>
        <w:rPr>
          <w:rtl w:val="true"/>
        </w:rPr>
        <w:t>של הנאשם</w:t>
      </w:r>
      <w:r>
        <w:rPr>
          <w:rtl w:val="true"/>
        </w:rPr>
        <w:t xml:space="preserve">, </w:t>
      </w:r>
      <w:r>
        <w:rPr>
          <w:rtl w:val="true"/>
        </w:rPr>
        <w:t>לרבות הפן השיקומי</w:t>
      </w:r>
      <w:r>
        <w:rPr>
          <w:rtl w:val="true"/>
        </w:rPr>
        <w:t xml:space="preserve">. </w:t>
      </w:r>
      <w:r>
        <w:rPr>
          <w:rtl w:val="true"/>
        </w:rPr>
        <w:t xml:space="preserve">כפי שקבע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שמגר </w:t>
      </w:r>
      <w:r>
        <w:rPr>
          <w:rtl w:val="true"/>
        </w:rPr>
        <w:t>(</w:t>
      </w:r>
      <w:r>
        <w:rPr>
          <w:rtl w:val="true"/>
        </w:rPr>
        <w:t>כתוארו דאז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344/81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 xml:space="preserve">סגל 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3"/>
        <w:tabs>
          <w:tab w:val="clear" w:pos="720"/>
          <w:tab w:val="left" w:pos="566" w:leader="none"/>
        </w:tabs>
        <w:ind w:hanging="0" w:start="566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שיקוליו של שירות המבחן למבוגרים אינם חופפים בהכרח את שיקוליו של בית המשפט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וזאת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אין היתר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מאחר שהוא אינו מופקד על הראייה הכוללת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הבוחנת גם את אלמנט ההרתעה הכללי ונתונים כיוצא באלה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לכן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אין לבוא בטרוניה אל שירות המבחן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אם הוא נותן דעתו בעיקר לאינטרס האישי של הנאשם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ואף מוכן להציע הצעות לשיקום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המעוגנות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לעתים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בהערכה ובהתרשמות ותו לא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השירות רואה את עיקר מעייניו במיצויו של היבט מוגדר של הנתונים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הנאספים לקראת ההכרעה השיפוטית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ובית המשפט הוא שיוצר את האיזון הנאות בין הנתונים השונים ומופקד על ראייתו של השלם להבדיל מן הקטע או המקוטע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השיקולים לקולא</w:t>
      </w:r>
      <w:r>
        <w:rPr>
          <w:rtl w:val="true"/>
        </w:rPr>
        <w:t xml:space="preserve">, </w:t>
      </w:r>
      <w:r>
        <w:rPr>
          <w:rtl w:val="true"/>
        </w:rPr>
        <w:t>לקחתי בחשבון את הודאת הנאשם במיוחס לו</w:t>
      </w:r>
      <w:r>
        <w:rPr>
          <w:rtl w:val="true"/>
        </w:rPr>
        <w:t xml:space="preserve">, </w:t>
      </w:r>
      <w:r>
        <w:rPr>
          <w:rtl w:val="true"/>
        </w:rPr>
        <w:t xml:space="preserve">את עברו הפלילי הכולל עבירה אחת משנת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ואת העובדה כי קיבל אחריות למעשיו והביע חרטה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אתחשב בעדי האופי שהעידו בפניי ובמסמכים הרבים אשר צורפו</w:t>
      </w:r>
      <w:r>
        <w:rPr>
          <w:rtl w:val="true"/>
        </w:rPr>
        <w:t xml:space="preserve">, </w:t>
      </w:r>
      <w:r>
        <w:rPr>
          <w:rtl w:val="true"/>
        </w:rPr>
        <w:t>אשר יש בהם כדי להעיד על אופיו ותרומתו של הנאשם לקהילה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 ועל אף השיקולים דנא</w:t>
      </w:r>
      <w:r>
        <w:rPr>
          <w:rtl w:val="true"/>
        </w:rPr>
        <w:t xml:space="preserve">, </w:t>
      </w:r>
      <w:r>
        <w:rPr>
          <w:rtl w:val="true"/>
        </w:rPr>
        <w:t>לא אחת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u w:val="single"/>
          <w:rtl w:val="true"/>
        </w:rPr>
        <w:t>דרך המלך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הינה מאסר בפועל ונסיבותיו האישיות את הנאשם יילקחו בחשבון באורך תקופת המאסר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 עוואודה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/>
        <w:t>30/12/09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טענת הנאשם</w:t>
      </w:r>
      <w:r>
        <w:rPr>
          <w:rtl w:val="true"/>
        </w:rPr>
        <w:t xml:space="preserve">, </w:t>
      </w:r>
      <w:r>
        <w:rPr>
          <w:rtl w:val="true"/>
        </w:rPr>
        <w:t>כי הנשק הקנה לו תחושת ביטחון לאור חששו מהגורמים הבעייתיים אשר התנכלו לו</w:t>
      </w:r>
      <w:r>
        <w:rPr>
          <w:rtl w:val="true"/>
        </w:rPr>
        <w:t xml:space="preserve">, </w:t>
      </w:r>
      <w:r>
        <w:rPr>
          <w:rtl w:val="true"/>
        </w:rPr>
        <w:t>אין בה כדי להוות נסיבה לקולא</w:t>
      </w:r>
      <w:r>
        <w:rPr>
          <w:rtl w:val="true"/>
        </w:rPr>
        <w:t xml:space="preserve">. </w:t>
      </w:r>
      <w:r>
        <w:rPr>
          <w:rtl w:val="true"/>
        </w:rPr>
        <w:t>דווקא בהחזקתו ובזמינותו</w:t>
      </w:r>
      <w:r>
        <w:rPr>
          <w:rtl w:val="true"/>
        </w:rPr>
        <w:t xml:space="preserve">, </w:t>
      </w:r>
      <w:r>
        <w:rPr>
          <w:rtl w:val="true"/>
        </w:rPr>
        <w:t>קיים פוטנציאל להוביל לתוצאות קשות ולהסלמת האלימות</w:t>
      </w:r>
      <w:r>
        <w:rPr>
          <w:rtl w:val="true"/>
        </w:rPr>
        <w:t xml:space="preserve">. </w:t>
      </w:r>
      <w:r>
        <w:rPr>
          <w:rtl w:val="true"/>
        </w:rPr>
        <w:t>חששו ופחדו של הנאשם מפני המתנכלים</w:t>
      </w:r>
      <w:r>
        <w:rPr>
          <w:rtl w:val="true"/>
        </w:rPr>
        <w:t xml:space="preserve">, </w:t>
      </w:r>
      <w:r>
        <w:rPr>
          <w:rtl w:val="true"/>
        </w:rPr>
        <w:t xml:space="preserve">רק יכול להגביר את הסיכון שיעשה בו שימוש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סנינה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/>
        <w:t>10/08/06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 דעתי לטענות הצדדים</w:t>
      </w:r>
      <w:r>
        <w:rPr>
          <w:rtl w:val="true"/>
        </w:rPr>
        <w:t xml:space="preserve">, </w:t>
      </w:r>
      <w:r>
        <w:rPr>
          <w:rtl w:val="true"/>
        </w:rPr>
        <w:t>למסמכים ופסקי הדין שצורפו</w:t>
      </w:r>
      <w:r>
        <w:rPr>
          <w:rtl w:val="true"/>
        </w:rPr>
        <w:t xml:space="preserve">, </w:t>
      </w:r>
      <w:r>
        <w:rPr>
          <w:rtl w:val="true"/>
        </w:rPr>
        <w:t xml:space="preserve">לעדי האופי מטעם הנאשם </w:t>
      </w:r>
      <w:r>
        <w:rPr>
          <w:rtl w:val="true"/>
        </w:rPr>
        <w:t xml:space="preserve">ולאמור בתסקיר שרות המבחן </w:t>
      </w:r>
      <w:r>
        <w:rPr>
          <w:rtl w:val="true"/>
        </w:rPr>
        <w:t>ולאחר ששקלתי נסיבות המקרה לחומרא ולקולא אני מטיל עונש 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 על הנאשם מאסר בפועל של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 על הנאשם מאסר על תנאי של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 יעבור על אותה עבירה</w:t>
      </w:r>
      <w:r>
        <w:rPr>
          <w:b/>
          <w:b/>
          <w:bCs/>
          <w:rtl w:val="true"/>
        </w:rPr>
        <w:t xml:space="preserve"> או כל עבירה הקשורה בשימוש או החזקה בנשק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דן את הנאשם לקנס בסך </w:t>
      </w:r>
      <w:r>
        <w:rPr>
          <w:b/>
          <w:bCs/>
        </w:rPr>
        <w:t>3000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ח או </w:t>
      </w:r>
      <w:r>
        <w:rPr>
          <w:b/>
          <w:bCs/>
        </w:rPr>
        <w:t>9</w:t>
      </w:r>
      <w:r>
        <w:rPr>
          <w:b/>
          <w:bCs/>
        </w:rPr>
        <w:t>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ישולם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תשלום ראשון בעוד חודש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במידה והופקדו כספים במסגרת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לקזזם עם הקנס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המוצגים יחולטו לטובת אוצר המדינה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מחוזי בנצרת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אבקש לעכב את ביצוע עונש המאסר וזאת לאורך התקופה הקצרה יחסית שכבוד בית המשפט הטיל</w:t>
      </w:r>
      <w:r>
        <w:rPr>
          <w:rtl w:val="true"/>
        </w:rPr>
        <w:t xml:space="preserve">. </w:t>
      </w:r>
      <w:r>
        <w:rPr>
          <w:rtl w:val="true"/>
        </w:rPr>
        <w:t>היות והוא אמור להיכנס לפי גזר הדין למאסר וזה הוא מאסרו הראשון הרי במידה ויקבל שליש הרי זה יסכל את מטרת הערעור והוא יהפוך לתיאורטי</w:t>
      </w:r>
      <w:r>
        <w:rPr>
          <w:rtl w:val="true"/>
        </w:rPr>
        <w:t xml:space="preserve">. </w:t>
      </w:r>
      <w:r>
        <w:rPr>
          <w:rtl w:val="true"/>
        </w:rPr>
        <w:t xml:space="preserve">אציין שהנאשם נתון בתנאי מעצר מגבילים עוד מיום </w:t>
      </w:r>
      <w:r>
        <w:rPr/>
        <w:t>12.07.10</w:t>
      </w:r>
      <w:r>
        <w:rPr>
          <w:rtl w:val="true"/>
        </w:rPr>
        <w:t xml:space="preserve">, </w:t>
      </w:r>
      <w:r>
        <w:rPr>
          <w:rtl w:val="true"/>
        </w:rPr>
        <w:t>לא נטען שהוא הפר אותם לאורך כל הדרך</w:t>
      </w:r>
      <w:r>
        <w:rPr>
          <w:rtl w:val="true"/>
        </w:rPr>
        <w:t xml:space="preserve">. </w:t>
      </w:r>
      <w:r>
        <w:rPr>
          <w:rtl w:val="true"/>
        </w:rPr>
        <w:t>מרכז חייו הוא בארץ</w:t>
      </w:r>
      <w:r>
        <w:rPr>
          <w:rtl w:val="true"/>
        </w:rPr>
        <w:t xml:space="preserve">, </w:t>
      </w:r>
      <w:r>
        <w:rPr>
          <w:rtl w:val="true"/>
        </w:rPr>
        <w:t>יש לו משפחה</w:t>
      </w:r>
      <w:r>
        <w:rPr>
          <w:rtl w:val="true"/>
        </w:rPr>
        <w:t xml:space="preserve">, </w:t>
      </w:r>
      <w:r>
        <w:rPr>
          <w:rtl w:val="true"/>
        </w:rPr>
        <w:t>ילדים ואין כל חשש שמא ירצה להימלט</w:t>
      </w:r>
      <w:r>
        <w:rPr>
          <w:rtl w:val="true"/>
        </w:rPr>
        <w:t xml:space="preserve">. </w:t>
      </w:r>
      <w:r>
        <w:rPr>
          <w:rtl w:val="true"/>
        </w:rPr>
        <w:t>אני רק אפנה ל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5785/09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שם נגזרו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וכבוד בית המשפט עיכב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התובע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אין התנגדות לעיכוב קצר</w:t>
      </w:r>
      <w:r>
        <w:rPr>
          <w:rtl w:val="true"/>
        </w:rPr>
        <w:t xml:space="preserve">. </w:t>
      </w:r>
      <w:r>
        <w:rPr>
          <w:rtl w:val="true"/>
        </w:rPr>
        <w:t>לאחר מכן אם יוגש ערעור ידון שם</w:t>
      </w:r>
      <w:r>
        <w:rPr>
          <w:rtl w:val="true"/>
        </w:rPr>
        <w:t xml:space="preserve">. </w:t>
      </w:r>
      <w:r>
        <w:rPr>
          <w:rtl w:val="true"/>
        </w:rPr>
        <w:t>נבקש שמגבלות השחרור יוותרו בעיניהם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לעכב ביצוע עונש המאסר בפועל עד </w:t>
      </w:r>
      <w:r>
        <w:rPr/>
        <w:t>01.03.2011</w:t>
      </w:r>
      <w:r>
        <w:rPr>
          <w:rtl w:val="true"/>
        </w:rPr>
        <w:t xml:space="preserve">, </w:t>
      </w:r>
      <w:r>
        <w:rPr>
          <w:rtl w:val="true"/>
        </w:rPr>
        <w:t xml:space="preserve">באותו מועד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יתייצב הנאשם במשטרת נצרת לריצוי עונשו אלא אם יוחלט אחרת על ידי בית המשפט המחוזי בנצרת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  אדר א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15/02/2011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ראמי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11581-07-10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כריסטיאן אבו חאטום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david-h1">
    <w:name w:val="david-h1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Indent3">
    <w:name w:val="Body Text Indent 3"/>
    <w:basedOn w:val="Normal"/>
    <w:qFormat/>
    <w:pPr>
      <w:snapToGrid w:val="false"/>
      <w:spacing w:lineRule="auto" w:line="360"/>
      <w:ind w:hanging="709" w:start="658" w:end="0"/>
      <w:jc w:val="both"/>
    </w:pPr>
    <w:rPr>
      <w:rFonts w:ascii="Times New Roman" w:hAnsi="Times New Roman" w:eastAsia="Times New Roman" w:cs="Times New Roman"/>
      <w:sz w:val="22"/>
      <w:szCs w:val="26"/>
    </w:rPr>
  </w:style>
  <w:style w:type="paragraph" w:styleId="david-p">
    <w:name w:val="david-p"/>
    <w:basedOn w:val="Normal"/>
    <w:qFormat/>
    <w:pPr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35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safrut/bookgroup/355" TargetMode="External"/><Relationship Id="rId5" Type="http://schemas.openxmlformats.org/officeDocument/2006/relationships/hyperlink" Target="http://www.nevo.co.il/safrut/bookgroup/35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6040482" TargetMode="External"/><Relationship Id="rId9" Type="http://schemas.openxmlformats.org/officeDocument/2006/relationships/hyperlink" Target="http://www.nevo.co.il/case/6210226" TargetMode="External"/><Relationship Id="rId10" Type="http://schemas.openxmlformats.org/officeDocument/2006/relationships/hyperlink" Target="http://www.nevo.co.il/safrut/bookgroup/355" TargetMode="External"/><Relationship Id="rId11" Type="http://schemas.openxmlformats.org/officeDocument/2006/relationships/hyperlink" Target="http://www.nevo.co.il/case/17939098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5887664" TargetMode="External"/><Relationship Id="rId14" Type="http://schemas.openxmlformats.org/officeDocument/2006/relationships/hyperlink" Target="http://www.nevo.co.il/case/6032528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2016-01-26T12:05:00Z</dcterms:created>
  <dc:creator> </dc:creator>
  <dc:description/>
  <cp:keywords/>
  <dc:language>en-IL</dc:language>
  <cp:lastModifiedBy>run</cp:lastModifiedBy>
  <dcterms:modified xsi:type="dcterms:W3CDTF">2016-01-26T12:05:00Z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כריסטיאן אבו חאטום (עציר)</vt:lpwstr>
  </property>
  <property fmtid="{D5CDD505-2E9C-101B-9397-08002B2CF9AE}" pid="4" name="BOOKGROUPTMP">
    <vt:lpwstr>355:2</vt:lpwstr>
  </property>
  <property fmtid="{D5CDD505-2E9C-101B-9397-08002B2CF9AE}" pid="5" name="CASESLISTTMP1">
    <vt:lpwstr>5852404;6040482;6210226;17939098;6000182;5887664;6032528</vt:lpwstr>
  </property>
  <property fmtid="{D5CDD505-2E9C-101B-9397-08002B2CF9AE}" pid="6" name="CITY">
    <vt:lpwstr>נצ'</vt:lpwstr>
  </property>
  <property fmtid="{D5CDD505-2E9C-101B-9397-08002B2CF9AE}" pid="7" name="DATE">
    <vt:lpwstr>20110215</vt:lpwstr>
  </property>
  <property fmtid="{D5CDD505-2E9C-101B-9397-08002B2CF9AE}" pid="8" name="ISABSTRACT">
    <vt:lpwstr>Y</vt:lpwstr>
  </property>
  <property fmtid="{D5CDD505-2E9C-101B-9397-08002B2CF9AE}" pid="9" name="JUDGE">
    <vt:lpwstr>ג'ורג' אזולאי</vt:lpwstr>
  </property>
  <property fmtid="{D5CDD505-2E9C-101B-9397-08002B2CF9AE}" pid="10" name="LAWLISTTMP1">
    <vt:lpwstr>70301</vt:lpwstr>
  </property>
  <property fmtid="{D5CDD505-2E9C-101B-9397-08002B2CF9AE}" pid="11" name="LAWYER">
    <vt:lpwstr>עמית פרלה;יעקב שלמוביץ' ממשרד תמי אולמן</vt:lpwstr>
  </property>
  <property fmtid="{D5CDD505-2E9C-101B-9397-08002B2CF9AE}" pid="12" name="NEWPARTA">
    <vt:lpwstr>11581</vt:lpwstr>
  </property>
  <property fmtid="{D5CDD505-2E9C-101B-9397-08002B2CF9AE}" pid="13" name="NEWPARTB">
    <vt:lpwstr>07</vt:lpwstr>
  </property>
  <property fmtid="{D5CDD505-2E9C-101B-9397-08002B2CF9AE}" pid="14" name="NEWPARTC">
    <vt:lpwstr>10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RemarkFileName">
    <vt:lpwstr>shalom sh 10 07 11581 517 htm</vt:lpwstr>
  </property>
  <property fmtid="{D5CDD505-2E9C-101B-9397-08002B2CF9AE}" pid="18" name="TYPE">
    <vt:lpwstr>3</vt:lpwstr>
  </property>
  <property fmtid="{D5CDD505-2E9C-101B-9397-08002B2CF9AE}" pid="19" name="TYPE_ABS_DATE">
    <vt:lpwstr>380020110215</vt:lpwstr>
  </property>
  <property fmtid="{D5CDD505-2E9C-101B-9397-08002B2CF9AE}" pid="20" name="TYPE_N_DATE">
    <vt:lpwstr>38020110215</vt:lpwstr>
  </property>
  <property fmtid="{D5CDD505-2E9C-101B-9397-08002B2CF9AE}" pid="21" name="WORDNUMPAGES">
    <vt:lpwstr>5</vt:lpwstr>
  </property>
</Properties>
</file>