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11740-01-22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ביטון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פנחסי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דוד פטריק ביטון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 על פי הודאתו בעבירות של 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נשק שלא כדין – עבירה 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חלק של נשק או תחמושת – עבירה 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התגורר הנאשם ברחוב בוטקובסקי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בחדרה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3/9/2020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בכספת שבחדר שינה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כלי הנשק והתחמושת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שמספרו הסידורי </w:t>
      </w:r>
      <w:r>
        <w:rPr>
          <w:rFonts w:cs="Arial" w:ascii="Arial" w:hAnsi="Arial"/>
        </w:rPr>
        <w:t>115</w:t>
      </w:r>
      <w:r>
        <w:rPr>
          <w:rFonts w:cs="Arial" w:ascii="Arial" w:hAnsi="Arial"/>
        </w:rPr>
        <w:t>ZZ</w:t>
      </w:r>
      <w:r>
        <w:rPr>
          <w:rFonts w:cs="Arial" w:ascii="Arial" w:hAnsi="Arial"/>
        </w:rPr>
        <w:t xml:space="preserve"> 50240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הנשק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")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מחסנית ריקה שהינה כלי נשק ומתאימה לנשק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המחסנית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אקדח חצי אוטומטי מסוג </w:t>
      </w:r>
      <w:r>
        <w:rPr>
          <w:rFonts w:cs="Arial" w:ascii="Arial" w:hAnsi="Arial"/>
        </w:rPr>
        <w:t>Unuque</w:t>
      </w:r>
      <w:r>
        <w:rPr>
          <w:rFonts w:cs="Arial" w:ascii="Arial" w:hAnsi="Arial"/>
        </w:rPr>
        <w:t xml:space="preserve"> 6.35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שמספרו הסידורי </w:t>
      </w:r>
      <w:r>
        <w:rPr>
          <w:rFonts w:cs="Arial" w:ascii="Arial" w:hAnsi="Arial"/>
        </w:rPr>
        <w:t>500565</w:t>
      </w:r>
      <w:r>
        <w:rPr>
          <w:rFonts w:cs="Arial" w:ascii="Arial" w:hAnsi="Arial"/>
          <w:rtl w:val="true"/>
        </w:rPr>
        <w:t xml:space="preserve"> 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הנשק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מחסנית ריקה שהינה כלי נשק ומתאימה לנשק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המחסנית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")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לנשקים נמצאה התחמושת הבאה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קופסאות אדומות ובהן כדורים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ושלוש קופסאות ובהן כדורים מסוג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התחמושת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בנסיבות אלה  הנאשם החזיק בנשק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ונשק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בכוחם לירות כדור ולהמית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החזיק 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ומחסנית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זאת בלא רשות על פי דין להחזקתם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הרשעת הנאשם בעבירות המיוחסות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הרשעתו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בא כוחו לציין ולהדגיש את הרקע והנסיבות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הייחודיות והחריגות לטעמו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העובדות כפי שאלה מפורטות בכתב האישום וזאת כדלהלן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שהוחזקו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שהוחזקו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קלאסית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בפרדס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לטענתנו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תתקבלנה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בקונטיינר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", </w:t>
      </w:r>
      <w:r>
        <w:rPr>
          <w:rtl w:val="true"/>
        </w:rPr>
        <w:t xml:space="preserve"> (</w:t>
      </w:r>
      <w:r>
        <w:rPr>
          <w:rtl w:val="true"/>
        </w:rPr>
        <w:t>עמודים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אשמח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להכחשה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התובע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לזיכויו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להוכחה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מפנה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מטעמו</w:t>
      </w:r>
      <w:r>
        <w:rPr>
          <w:b/>
          <w:bCs/>
          <w:rtl w:val="true"/>
        </w:rPr>
        <w:t xml:space="preserve">... "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... ". 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21/11/22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2/1/23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מבקשתו</w:t>
      </w:r>
      <w:r>
        <w:rPr>
          <w:rtl w:val="true"/>
        </w:rPr>
        <w:t xml:space="preserve">, </w:t>
      </w:r>
      <w:r>
        <w:rPr>
          <w:rtl w:val="true"/>
        </w:rPr>
        <w:t>להפניית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יוצגו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2/1/23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16/3/23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אספנו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שמנו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19-20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  <w:r>
        <w:rPr/>
        <w:t>16/3/23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)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ספרי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עשיתם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הלכנו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tl w:val="true"/>
        </w:rPr>
        <w:t xml:space="preserve">, </w:t>
      </w:r>
      <w:r>
        <w:rPr>
          <w:rtl w:val="true"/>
        </w:rPr>
        <w:t>הלכנו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/>
        <w:t>3-4</w:t>
      </w:r>
      <w:r>
        <w:rPr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הלאה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חיכינו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בעיות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tl w:val="true"/>
        </w:rPr>
        <w:t xml:space="preserve">, </w:t>
      </w:r>
      <w:r>
        <w:rPr>
          <w:rtl w:val="true"/>
        </w:rPr>
        <w:t>רצינו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. 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14-27</w:t>
      </w:r>
      <w:r>
        <w:rPr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16/3/23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האקדחים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עשיתם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השארתי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>. " (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16-21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16/3/23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מאופסנים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ספורטיבי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אדמיניסטרטיבי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למעשה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3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 אכן ואין חולק על כך שהנאשם החזיק בשני אקדחים כמפורט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המחסניות ובתחמושת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האקדחים והכדורים הוחזקו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ואופסנו בכספת ביתית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במעשיו פגע הנאשם בערך החברתי המוגן – הגנה על חיי אדם והגנה על גופו ובטחונו של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לעניין זה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פאדי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באלי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סבור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בערך המוגן היא ברמה שמתחת לרף הבינוני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הנשק מגיע לידי מי שמנסים לפגוע בביטחונם ובשלומם של תושבי המדינה ובין אם מחמת שנגרמות תאונות כתוצאה מהשימוש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;"</w:t>
      </w:r>
      <w:r>
        <w:rPr>
          <w:rFonts w:cs="David" w:ascii="David" w:hAnsi="David"/>
          <w:rtl w:val="true"/>
        </w:rPr>
        <w:t xml:space="preserve"> 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 שלפני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נשק לסוגיהן היו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יתירה מכך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מאד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ירי במקום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גרימת חבלה והמתה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ז פלר 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52-48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כרך ב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תשמ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מעשי הכנה כאלה נענשים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כאמור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 זה ועונשים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שחלקם חמורים אף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מוטלים על עברייני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דברי השופט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b/>
          <w:bCs/>
          <w:rtl w:val="true"/>
        </w:rPr>
        <w:t>))...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בכלל ובית המשפט העליון בראשם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מדיניות ענישה מחמירה ביחס לכל מי שעובר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13.02.22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כי יש לסווגן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מעבר לזו שהייתה נקוטה בעבר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 xml:space="preserve">אקדח שיורה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השלישית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גורם כמובן לנזק 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הראשונה</w:t>
      </w:r>
      <w:r>
        <w:rPr>
          <w:rFonts w:cs="David" w:ascii="David" w:hAnsi="David"/>
          <w:b/>
          <w:bCs/>
          <w:rtl w:val="true"/>
        </w:rPr>
        <w:t xml:space="preserve">" – </w:t>
      </w:r>
      <w:r>
        <w:rPr>
          <w:rFonts w:ascii="David" w:hAnsi="David"/>
          <w:b/>
          <w:b/>
          <w:bCs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אין להפריז במשקל שיש לתת לנתונים כגון סוג האקדח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ולקבוע מעין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מדרגה עונשית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שמתמקדת אך ורק בנתון זה ובתוצאה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בסיכון שנוצר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העיקר נעוץ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בכוחו של הנשק לפגוע באדם – ואף להמיתו – ולשבש את חיי השגרה של החברה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שהובהר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 מרעתן החולה של עבירות הנשק מצוי לאו דווקא בשימוש הישיר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בנזקים שנלווים להחזקה ונשיאה של כלי נשק בידי אזרחים באופן בלתי חוקי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לראיה באשר לקריאות של בתי המשפט בכל הערכאות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להעלות את רף הענישה בעבירות הנשק לסוגיהן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05.11.19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]) </w:t>
      </w:r>
      <w:r>
        <w:rPr>
          <w:rFonts w:ascii="David" w:hAnsi="David"/>
          <w:rtl w:val="true"/>
        </w:rPr>
        <w:t>יצאה קריאה ברורה ומפורשת להחמיר בענישה בעבירות נשק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 xml:space="preserve">. [...] </w:t>
      </w:r>
      <w:r>
        <w:rPr>
          <w:rFonts w:ascii="David" w:hAnsi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כפי שנאמר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28.07.20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ניכרת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באה לידי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התחתון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מאפשר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rtl w:val="true"/>
        </w:rPr>
        <w:t xml:space="preserve">." </w:t>
      </w:r>
      <w:r>
        <w:rPr>
          <w:rFonts w:ascii="David" w:hAnsi="David"/>
          <w:rtl w:val="true"/>
        </w:rPr>
        <w:t>וכן בהמשך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נסכם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לעמוד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שהפכה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כשבית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נקרא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להירתם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למאבק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על עמדה עונשית זו חזר בית המשפט המחוזי בחיפה לאחרונה במסגרת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64033-11-22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מיכאלוב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 xml:space="preserve">פסק דין מיום </w:t>
      </w:r>
      <w:r>
        <w:rPr>
          <w:rFonts w:cs="David" w:ascii="David" w:hAnsi="David"/>
        </w:rPr>
        <w:t>27.03.2023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במסגרתו התקבל ערעור המדינה על גזר דינו של בית משפט השלום אשר הטיל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 על נאשם אשר הורשע בעבירות של החזקת נשק שלא כדין והחזקת סם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קיבל את ערעור המדינה והטיל על הנאשם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מאחורי סורג ובריח תוך הדגשת העובדה שאין זו מדרכה של ערכאת הערעור למצות את מלוא חומרת הדין עם הנאשם וכן לאור הודאת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הרשעות קודמות ושילובו בהליך 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 שפירא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 לעמדתה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בש אשר כתבה את פסק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לעניין העונש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מצאתי לנכון להדגיש את הנושא ולהבהיר כי ככלל צפויים אלו המצבעים עבירות בנשק ענישה מחמירה מהעונש שנגזר כעת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אדגיש כי ההחמרה בענישה יכול שתבוא לידי ביטוי לא רק בעונשי המאסר אלא גם בענישה כלכלית משלימה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בדרך של קנסות משמעותיים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 </w:t>
      </w:r>
      <w:r>
        <w:rPr>
          <w:rtl w:val="true"/>
        </w:rPr>
        <w:t>נ</w:t>
      </w:r>
      <w:r>
        <w:rPr>
          <w:rtl w:val="true"/>
        </w:rPr>
        <w:t>;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>: 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20.6.21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>: "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לשכיחותם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להמעיט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5613/20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25.8.2020</w:t>
      </w:r>
      <w:r>
        <w:rPr>
          <w:b/>
          <w:bCs/>
          <w:rtl w:val="true"/>
        </w:rPr>
        <w:t xml:space="preserve">);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4065/18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איאסו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30.8.2018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המאולתרים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12888-03-22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07.11.22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?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הננקטות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,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גריידא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.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9.11.2020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המנכל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1.3.21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הממשלה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המאפיינים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ההערכות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b/>
          <w:bCs/>
          <w:rtl w:val="true"/>
        </w:rPr>
        <w:t>.[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מעגלי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והרצח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הביקוש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במחירם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וגדל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ומרחיבים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וגניבות</w:t>
      </w:r>
      <w:r>
        <w:rPr>
          <w:b/>
          <w:bCs/>
          <w:rtl w:val="true"/>
        </w:rPr>
        <w:t>.[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]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הנדרשות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מהותיים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b/>
          <w:bCs/>
          <w:rtl w:val="true"/>
        </w:rPr>
        <w:t>.[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]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התיקונים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האיכותי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שמגולמות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הביקוש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ומגדילה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באוכלוסייה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 (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אחזקתו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שיירשמו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כחובה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.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16.2.23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הצלחתו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מגבשים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20.2.22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".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tl w:val="true"/>
        </w:rPr>
        <w:t xml:space="preserve">, </w:t>
      </w:r>
      <w:r>
        <w:rPr>
          <w:rtl w:val="true"/>
        </w:rPr>
        <w:t>השכלתו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30.12.20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כלִי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כלִי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הילוכו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הבחינו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חרטתו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ועמוקה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מעידתו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ותומכת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נצעד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פורמאלית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והציבור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3278/23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ולדיסלב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2.5.23</w:t>
      </w:r>
      <w:r>
        <w:rPr>
          <w:rtl w:val="true"/>
        </w:rPr>
        <w:t xml:space="preserve"> 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 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שגרתיות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tl w:val="true"/>
        </w:rPr>
        <w:t xml:space="preserve">,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השתהתה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בהגשת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יבשים</w:t>
      </w:r>
      <w:r>
        <w:rPr>
          <w:rtl w:val="true"/>
        </w:rPr>
        <w:t xml:space="preserve">"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ומובהק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כאינדיבידואל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" (</w:t>
      </w:r>
      <w:hyperlink r:id="rId5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1267-05-16</w:t>
        </w:r>
      </w:hyperlink>
      <w:r>
        <w:rPr>
          <w:rtl w:val="true"/>
        </w:rPr>
        <w:t xml:space="preserve"> </w:t>
      </w:r>
      <w:r>
        <w:rPr>
          <w:rtl w:val="true"/>
        </w:rPr>
        <w:t>חיזגילוב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344/81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סגל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 xml:space="preserve">, </w:t>
      </w:r>
      <w:r>
        <w:rPr/>
        <w:t>321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כקריעת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ודקדוקי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דקדוקים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ובמסורת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וסתמית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ללמדך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tl w:val="true"/>
        </w:rPr>
        <w:t xml:space="preserve">,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והייחודיות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" 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נוב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/>
        <w:t>21/2/23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start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10.10.2023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11740-01-22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פטריק ביטון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j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40j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/40e" TargetMode="External"/><Relationship Id="rId24" Type="http://schemas.openxmlformats.org/officeDocument/2006/relationships/hyperlink" Target="http://www.nevo.co.il/case/2147416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51382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7309272" TargetMode="External"/><Relationship Id="rId29" Type="http://schemas.openxmlformats.org/officeDocument/2006/relationships/hyperlink" Target="http://www.nevo.co.il/safrut/bookgroup/41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28883087" TargetMode="External"/><Relationship Id="rId34" Type="http://schemas.openxmlformats.org/officeDocument/2006/relationships/hyperlink" Target="http://www.nevo.co.il/case/28697218" TargetMode="External"/><Relationship Id="rId35" Type="http://schemas.openxmlformats.org/officeDocument/2006/relationships/hyperlink" Target="http://www.nevo.co.il/case/27925239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26442335" TargetMode="External"/><Relationship Id="rId38" Type="http://schemas.openxmlformats.org/officeDocument/2006/relationships/hyperlink" Target="http://www.nevo.co.il/case/29174839" TargetMode="External"/><Relationship Id="rId39" Type="http://schemas.openxmlformats.org/officeDocument/2006/relationships/hyperlink" Target="http://www.nevo.co.il/case/26383419" TargetMode="External"/><Relationship Id="rId40" Type="http://schemas.openxmlformats.org/officeDocument/2006/relationships/hyperlink" Target="http://www.nevo.co.il/case/26931111" TargetMode="External"/><Relationship Id="rId41" Type="http://schemas.openxmlformats.org/officeDocument/2006/relationships/hyperlink" Target="http://www.nevo.co.il/case/27693610" TargetMode="External"/><Relationship Id="rId42" Type="http://schemas.openxmlformats.org/officeDocument/2006/relationships/hyperlink" Target="http://www.nevo.co.il/case/27648787" TargetMode="External"/><Relationship Id="rId43" Type="http://schemas.openxmlformats.org/officeDocument/2006/relationships/hyperlink" Target="http://www.nevo.co.il/case/26913995" TargetMode="External"/><Relationship Id="rId44" Type="http://schemas.openxmlformats.org/officeDocument/2006/relationships/hyperlink" Target="http://www.nevo.co.il/case/24263426" TargetMode="External"/><Relationship Id="rId45" Type="http://schemas.openxmlformats.org/officeDocument/2006/relationships/hyperlink" Target="http://www.nevo.co.il/case/28378067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g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8963593" TargetMode="External"/><Relationship Id="rId53" Type="http://schemas.openxmlformats.org/officeDocument/2006/relationships/hyperlink" Target="http://www.nevo.co.il/case/27721185" TargetMode="External"/><Relationship Id="rId54" Type="http://schemas.openxmlformats.org/officeDocument/2006/relationships/hyperlink" Target="http://www.nevo.co.il/case/26934681" TargetMode="External"/><Relationship Id="rId55" Type="http://schemas.openxmlformats.org/officeDocument/2006/relationships/hyperlink" Target="http://www.nevo.co.il/case/13015506" TargetMode="External"/><Relationship Id="rId56" Type="http://schemas.openxmlformats.org/officeDocument/2006/relationships/hyperlink" Target="http://www.nevo.co.il/case/29591873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1664036" TargetMode="External"/><Relationship Id="rId59" Type="http://schemas.openxmlformats.org/officeDocument/2006/relationships/hyperlink" Target="http://www.nevo.co.il/case/17939098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2024-07-08T11:57:00Z</dcterms:created>
  <dc:creator> </dc:creator>
  <dc:description/>
  <cp:keywords/>
  <dc:language>en-IL</dc:language>
  <cp:lastModifiedBy>h1</cp:lastModifiedBy>
  <dcterms:modified xsi:type="dcterms:W3CDTF">2024-07-08T11:57:00Z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פטריק ביטון</vt:lpwstr>
  </property>
  <property fmtid="{D5CDD505-2E9C-101B-9397-08002B2CF9AE}" pid="4" name="BOOKGROUPTMP1">
    <vt:lpwstr>412</vt:lpwstr>
  </property>
  <property fmtid="{D5CDD505-2E9C-101B-9397-08002B2CF9AE}" pid="5" name="CASESLISTTMP1">
    <vt:lpwstr>21474168;28513828;27309272;25824863:2;28883087:2;28697218;27925239;26442335;29174839;26383419;26931111;27693610;27648787;26913995;24263426;28378067;28963593;27721185;26934681;13015506;29591873;21664036;17939098</vt:lpwstr>
  </property>
  <property fmtid="{D5CDD505-2E9C-101B-9397-08002B2CF9AE}" pid="6" name="CITY">
    <vt:lpwstr>חד'</vt:lpwstr>
  </property>
  <property fmtid="{D5CDD505-2E9C-101B-9397-08002B2CF9AE}" pid="7" name="DATE">
    <vt:lpwstr>20230719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70301/144.a:2;040j.a;040i;40ja;040d;040e;144.g</vt:lpwstr>
  </property>
  <property fmtid="{D5CDD505-2E9C-101B-9397-08002B2CF9AE}" pid="11" name="LAWYER">
    <vt:lpwstr>יעל פנחסי;ישי ניב</vt:lpwstr>
  </property>
  <property fmtid="{D5CDD505-2E9C-101B-9397-08002B2CF9AE}" pid="12" name="NEWPARTA">
    <vt:lpwstr>11740</vt:lpwstr>
  </property>
  <property fmtid="{D5CDD505-2E9C-101B-9397-08002B2CF9AE}" pid="13" name="NEWPARTB">
    <vt:lpwstr>01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380020230719</vt:lpwstr>
  </property>
  <property fmtid="{D5CDD505-2E9C-101B-9397-08002B2CF9AE}" pid="19" name="TYPE_N_DATE">
    <vt:lpwstr>38020230719</vt:lpwstr>
  </property>
  <property fmtid="{D5CDD505-2E9C-101B-9397-08002B2CF9AE}" pid="20" name="WORDNUMPAGES">
    <vt:lpwstr>18</vt:lpwstr>
  </property>
</Properties>
</file>