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23"/>
        <w:gridCol w:w="3656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5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1178-06-21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מסארוה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ליטל שירי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נאדים מסארוה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אסיר בפיקוח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ובראנסי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84" w:end="0"/>
        <w:jc w:val="both"/>
        <w:rPr/>
      </w:pPr>
      <w:bookmarkStart w:id="8" w:name="ABSTRACT_START"/>
      <w:bookmarkEnd w:id="8"/>
      <w:r>
        <w:rPr>
          <w:rtl w:val="true"/>
        </w:rPr>
        <w:t xml:space="preserve">הנאשם הורשע במסגרת הסדר טיעון בעובדות כתב אישום מתוקן </w:t>
      </w:r>
      <w:r>
        <w:rPr>
          <w:b/>
          <w:b/>
          <w:bCs/>
          <w:rtl w:val="true"/>
        </w:rPr>
        <w:t xml:space="preserve">בעבירת נשיאה והובלת נשק ותחמושת לפי </w:t>
      </w:r>
      <w:hyperlink r:id="rId4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 וסיפא ל</w:t>
      </w:r>
      <w:hyperlink r:id="rId5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-</w:t>
      </w:r>
      <w:r>
        <w:rPr>
          <w:rtl w:val="true"/>
        </w:rPr>
        <w:t>החוק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r>
        <w:rPr>
          <w:rtl w:val="true"/>
        </w:rPr>
        <w:t>כמפורט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27.5.21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23:37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נורו מספר יריות בעיר טייבה</w:t>
      </w:r>
      <w:r>
        <w:rPr>
          <w:rtl w:val="true"/>
        </w:rPr>
        <w:t xml:space="preserve">. </w:t>
      </w:r>
      <w:r>
        <w:rPr>
          <w:rtl w:val="true"/>
        </w:rPr>
        <w:t>בסמוך לאחר מכן</w:t>
      </w:r>
      <w:r>
        <w:rPr>
          <w:rtl w:val="true"/>
        </w:rPr>
        <w:t xml:space="preserve">, </w:t>
      </w:r>
      <w:r>
        <w:rPr>
          <w:rtl w:val="true"/>
        </w:rPr>
        <w:t>בטייבה</w:t>
      </w:r>
      <w:r>
        <w:rPr>
          <w:rtl w:val="true"/>
        </w:rPr>
        <w:t xml:space="preserve">, </w:t>
      </w:r>
      <w:r>
        <w:rPr>
          <w:rtl w:val="true"/>
        </w:rPr>
        <w:t xml:space="preserve">הוביל הנאשם ברכב </w:t>
      </w:r>
      <w:r>
        <w:rPr/>
        <w:t>BMW</w:t>
      </w:r>
      <w:r>
        <w:rPr>
          <w:rtl w:val="true"/>
        </w:rPr>
        <w:t xml:space="preserve"> </w:t>
      </w:r>
      <w:r>
        <w:rPr>
          <w:rtl w:val="true"/>
        </w:rPr>
        <w:t xml:space="preserve">בו נהג אקדח מסוג </w:t>
      </w:r>
      <w:r>
        <w:rPr/>
        <w:t>FN</w:t>
      </w:r>
      <w:r>
        <w:rPr>
          <w:rtl w:val="true"/>
        </w:rPr>
        <w:t xml:space="preserve">, </w:t>
      </w:r>
      <w:r>
        <w:rPr>
          <w:rtl w:val="true"/>
        </w:rPr>
        <w:t>טעון מחסנית ובה כדורים תואמים</w:t>
      </w:r>
      <w:r>
        <w:rPr>
          <w:rtl w:val="true"/>
        </w:rPr>
        <w:t xml:space="preserve">, </w:t>
      </w:r>
      <w:r>
        <w:rPr>
          <w:rtl w:val="true"/>
        </w:rPr>
        <w:t>כשלצדו ישב קרוב משפחתו</w:t>
      </w:r>
      <w:r>
        <w:rPr>
          <w:rtl w:val="true"/>
        </w:rPr>
        <w:t xml:space="preserve">. </w:t>
      </w:r>
    </w:p>
    <w:p>
      <w:pPr>
        <w:pStyle w:val="ListParagraph"/>
        <w:ind w:hanging="283" w:start="84" w:end="0"/>
        <w:jc w:val="start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3"/>
        </w:numPr>
        <w:spacing w:lineRule="auto" w:line="360"/>
        <w:ind w:hanging="283" w:start="84" w:end="0"/>
        <w:jc w:val="both"/>
        <w:rPr/>
      </w:pPr>
      <w:r>
        <w:rPr>
          <w:rtl w:val="true"/>
        </w:rPr>
        <w:t xml:space="preserve">ביום </w:t>
      </w:r>
      <w:r>
        <w:rPr/>
        <w:t>13.10.21</w:t>
      </w:r>
      <w:r>
        <w:rPr>
          <w:rtl w:val="true"/>
        </w:rPr>
        <w:t xml:space="preserve"> </w:t>
      </w:r>
      <w:r>
        <w:rPr>
          <w:rtl w:val="true"/>
        </w:rPr>
        <w:t>הציגו הצדדים הסדר טיעון דיוני</w:t>
      </w:r>
      <w:r>
        <w:rPr>
          <w:rtl w:val="true"/>
        </w:rPr>
        <w:t xml:space="preserve">, </w:t>
      </w:r>
      <w:r>
        <w:rPr>
          <w:rtl w:val="true"/>
        </w:rPr>
        <w:t>במסגרתו הודה והורשע הנאשם בעובדות כתב האישום המתוקן והופנה</w:t>
      </w:r>
      <w:r>
        <w:rPr>
          <w:rtl w:val="true"/>
        </w:rPr>
        <w:t xml:space="preserve">, </w:t>
      </w:r>
      <w:r>
        <w:rPr>
          <w:rtl w:val="true"/>
        </w:rPr>
        <w:t>מפאת גילו</w:t>
      </w:r>
      <w:r>
        <w:rPr>
          <w:rtl w:val="true"/>
        </w:rPr>
        <w:t xml:space="preserve">, </w:t>
      </w:r>
      <w:r>
        <w:rPr>
          <w:rtl w:val="true"/>
        </w:rPr>
        <w:t>לתסקיר חובה של שירות המבחן</w:t>
      </w:r>
      <w:r>
        <w:rPr>
          <w:rtl w:val="true"/>
        </w:rPr>
        <w:t xml:space="preserve">. </w:t>
      </w:r>
    </w:p>
    <w:p>
      <w:pPr>
        <w:pStyle w:val="ListParagraph"/>
        <w:ind w:start="84"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84" w:end="0"/>
        <w:jc w:val="both"/>
        <w:rPr/>
      </w:pPr>
      <w:r>
        <w:rPr>
          <w:rtl w:val="true"/>
        </w:rPr>
        <w:t xml:space="preserve">הנאשם בן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נעדר עבר פלילי</w:t>
      </w:r>
      <w:r>
        <w:rPr>
          <w:rtl w:val="true"/>
        </w:rPr>
        <w:t xml:space="preserve">, </w:t>
      </w:r>
      <w:r>
        <w:rPr>
          <w:rtl w:val="true"/>
        </w:rPr>
        <w:t>צפוי להתחתן בקרוב</w:t>
      </w:r>
      <w:r>
        <w:rPr>
          <w:rtl w:val="true"/>
        </w:rPr>
        <w:t xml:space="preserve">. </w:t>
      </w:r>
      <w:r>
        <w:rPr>
          <w:rtl w:val="true"/>
        </w:rPr>
        <w:t>לאחרונה נפצע בתאונת דרכים</w:t>
      </w:r>
      <w:r>
        <w:rPr>
          <w:rtl w:val="true"/>
        </w:rPr>
        <w:t xml:space="preserve">, </w:t>
      </w:r>
      <w:r>
        <w:rPr>
          <w:rtl w:val="true"/>
        </w:rPr>
        <w:t>מתנייד בסיוע בני משפחתו נוכח איסור דריכה על אחת מרגליו</w:t>
      </w:r>
      <w:r>
        <w:rPr>
          <w:rtl w:val="true"/>
        </w:rPr>
        <w:t xml:space="preserve">, </w:t>
      </w:r>
      <w:r>
        <w:rPr>
          <w:rtl w:val="true"/>
        </w:rPr>
        <w:t>קודם לכן נעזר בקביים</w:t>
      </w:r>
      <w:r>
        <w:rPr>
          <w:rtl w:val="true"/>
        </w:rPr>
        <w:t xml:space="preserve">. </w:t>
      </w:r>
      <w:r>
        <w:rPr>
          <w:rtl w:val="true"/>
        </w:rPr>
        <w:t xml:space="preserve">בחודש מרץ </w:t>
      </w:r>
      <w:r>
        <w:rPr/>
        <w:t>2022</w:t>
      </w:r>
      <w:r>
        <w:rPr>
          <w:rtl w:val="true"/>
        </w:rPr>
        <w:t xml:space="preserve"> </w:t>
      </w:r>
      <w:r>
        <w:rPr>
          <w:rtl w:val="true"/>
        </w:rPr>
        <w:t>נפצע באירוע ירי</w:t>
      </w:r>
      <w:r>
        <w:rPr>
          <w:rtl w:val="true"/>
        </w:rPr>
        <w:t xml:space="preserve">, </w:t>
      </w:r>
      <w:r>
        <w:rPr>
          <w:rtl w:val="true"/>
        </w:rPr>
        <w:t>לדבריו הירי היה מכוון אליו</w:t>
      </w:r>
      <w:r>
        <w:rPr>
          <w:rtl w:val="true"/>
        </w:rPr>
        <w:t xml:space="preserve">, </w:t>
      </w:r>
      <w:r>
        <w:rPr>
          <w:rtl w:val="true"/>
        </w:rPr>
        <w:t>עם זאת שלל מעורבות בסכסוכים</w:t>
      </w:r>
      <w:r>
        <w:rPr>
          <w:rtl w:val="true"/>
        </w:rPr>
        <w:t xml:space="preserve">. </w:t>
      </w:r>
      <w:r>
        <w:rPr>
          <w:rtl w:val="true"/>
        </w:rPr>
        <w:t xml:space="preserve">כתוצאה מהירי נפצע קשה בחלקו התחתון של גופו וברגליו </w:t>
      </w:r>
      <w:r>
        <w:rPr>
          <w:rtl w:val="true"/>
        </w:rPr>
        <w:t>(</w:t>
      </w:r>
      <w:r>
        <w:rPr>
          <w:rtl w:val="true"/>
        </w:rPr>
        <w:t>ריסוק הירך</w:t>
      </w:r>
      <w:r>
        <w:rPr>
          <w:rtl w:val="true"/>
        </w:rPr>
        <w:t xml:space="preserve">). </w:t>
      </w:r>
      <w:r>
        <w:rPr>
          <w:rtl w:val="true"/>
        </w:rPr>
        <w:t>מאז עובר תהליכי טיפול רפואיים ופסיכולוגיים ומתמודד עם תחושות דיכאון</w:t>
      </w:r>
      <w:r>
        <w:rPr>
          <w:rtl w:val="true"/>
        </w:rPr>
        <w:t xml:space="preserve">, </w:t>
      </w:r>
      <w:r>
        <w:rPr>
          <w:rtl w:val="true"/>
        </w:rPr>
        <w:t>פוסט טראומה</w:t>
      </w:r>
      <w:r>
        <w:rPr>
          <w:rtl w:val="true"/>
        </w:rPr>
        <w:t xml:space="preserve">, </w:t>
      </w:r>
      <w:r>
        <w:rPr>
          <w:rtl w:val="true"/>
        </w:rPr>
        <w:t>חרדות</w:t>
      </w:r>
      <w:r>
        <w:rPr>
          <w:rtl w:val="true"/>
        </w:rPr>
        <w:t xml:space="preserve">, </w:t>
      </w:r>
      <w:r>
        <w:rPr>
          <w:rtl w:val="true"/>
        </w:rPr>
        <w:t>חוסר ביטחון</w:t>
      </w:r>
      <w:r>
        <w:rPr>
          <w:rtl w:val="true"/>
        </w:rPr>
        <w:t xml:space="preserve">, </w:t>
      </w:r>
      <w:r>
        <w:rPr>
          <w:rtl w:val="true"/>
        </w:rPr>
        <w:t>תלות במשפחתו וחרדה חברתית</w:t>
      </w:r>
      <w:r>
        <w:rPr>
          <w:rtl w:val="true"/>
        </w:rPr>
        <w:t xml:space="preserve">. </w:t>
      </w:r>
      <w:r>
        <w:rPr>
          <w:rtl w:val="true"/>
        </w:rPr>
        <w:t>נוכח מצבו הבריאותי הפסיק לעבוד ומצוי בהליך תביעת קצבת נכות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r>
        <w:rPr>
          <w:b/>
          <w:b/>
          <w:bCs/>
          <w:rtl w:val="true"/>
        </w:rPr>
        <w:t>אשר לעבירה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 מקבל אחריות לביצוע העבירה</w:t>
      </w:r>
      <w:r>
        <w:rPr>
          <w:rtl w:val="true"/>
        </w:rPr>
        <w:t xml:space="preserve">, </w:t>
      </w:r>
      <w:r>
        <w:rPr>
          <w:rtl w:val="true"/>
        </w:rPr>
        <w:t>מביע צער וחרטה</w:t>
      </w:r>
      <w:r>
        <w:rPr>
          <w:rtl w:val="true"/>
        </w:rPr>
        <w:t xml:space="preserve">, </w:t>
      </w:r>
      <w:r>
        <w:rPr>
          <w:rtl w:val="true"/>
        </w:rPr>
        <w:t>מכיר בבעייתיות שבהתנהגותו ונכון לשאת בתוצאות מעשיו</w:t>
      </w:r>
      <w:r>
        <w:rPr>
          <w:rtl w:val="true"/>
        </w:rPr>
        <w:t xml:space="preserve">.  </w:t>
      </w:r>
      <w:r>
        <w:rPr>
          <w:rtl w:val="true"/>
        </w:rPr>
        <w:t>עוד תיאר שבתקופת מעצרו</w:t>
      </w:r>
      <w:r>
        <w:rPr>
          <w:rtl w:val="true"/>
        </w:rPr>
        <w:t xml:space="preserve">, </w:t>
      </w:r>
      <w:r>
        <w:rPr>
          <w:rtl w:val="true"/>
        </w:rPr>
        <w:t>משך כשלושה חודשים</w:t>
      </w:r>
      <w:r>
        <w:rPr>
          <w:rtl w:val="true"/>
        </w:rPr>
        <w:t xml:space="preserve">, </w:t>
      </w:r>
      <w:r>
        <w:rPr>
          <w:rtl w:val="true"/>
        </w:rPr>
        <w:t>סבל מהתפרצויות בכי וחרדות</w:t>
      </w:r>
      <w:r>
        <w:rPr>
          <w:rtl w:val="true"/>
        </w:rPr>
        <w:t xml:space="preserve">. </w:t>
      </w:r>
      <w:r>
        <w:rPr>
          <w:rtl w:val="true"/>
        </w:rPr>
        <w:t>בהמשך שוחרר לחלופת מעצר</w:t>
      </w:r>
      <w:r>
        <w:rPr>
          <w:rtl w:val="true"/>
        </w:rPr>
        <w:t xml:space="preserve">, </w:t>
      </w:r>
      <w:r>
        <w:rPr>
          <w:rtl w:val="true"/>
        </w:rPr>
        <w:t>אך לא הצליח לשקם את עסקו</w:t>
      </w:r>
      <w:r>
        <w:rPr>
          <w:rtl w:val="true"/>
        </w:rPr>
        <w:t xml:space="preserve">,  </w:t>
      </w:r>
      <w:r>
        <w:rPr>
          <w:rtl w:val="true"/>
        </w:rPr>
        <w:t>עסק משפחתי לציוד חקלאי</w:t>
      </w:r>
      <w:r>
        <w:rPr>
          <w:rtl w:val="true"/>
        </w:rPr>
        <w:t xml:space="preserve">, </w:t>
      </w:r>
      <w:r>
        <w:rPr>
          <w:rtl w:val="true"/>
        </w:rPr>
        <w:t>וצבר חובות לבנק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84" w:end="0"/>
        <w:jc w:val="both"/>
        <w:rPr/>
      </w:pPr>
      <w:r>
        <w:rPr>
          <w:rtl w:val="true"/>
        </w:rPr>
        <w:t>שירות המבחן התרשם מבחור צעיר</w:t>
      </w:r>
      <w:r>
        <w:rPr>
          <w:rtl w:val="true"/>
        </w:rPr>
        <w:t xml:space="preserve">, </w:t>
      </w:r>
      <w:r>
        <w:rPr>
          <w:rtl w:val="true"/>
        </w:rPr>
        <w:t>שניהל אורח חיים תקין ונעדר דפוסים עבריינים מושרשים</w:t>
      </w:r>
      <w:r>
        <w:rPr>
          <w:rtl w:val="true"/>
        </w:rPr>
        <w:t xml:space="preserve">. </w:t>
      </w:r>
      <w:r>
        <w:rPr>
          <w:rtl w:val="true"/>
        </w:rPr>
        <w:t>את הסיבות לביצוע מעשיו מייחסים לחוסר בשלות וצורך בחיזוק הדימוי העצמי שהובילוהו ליצור קשרים שוליים ולמעורבות בעבירות הנשק</w:t>
      </w:r>
      <w:r>
        <w:rPr>
          <w:rtl w:val="true"/>
        </w:rPr>
        <w:t xml:space="preserve">. </w:t>
      </w:r>
      <w:r>
        <w:rPr>
          <w:rtl w:val="true"/>
        </w:rPr>
        <w:t>שירות המבחן לא שלל סיכון להמשך מעורבות שולית מצדו בתחום הנשק</w:t>
      </w:r>
      <w:r>
        <w:rPr>
          <w:rtl w:val="true"/>
        </w:rPr>
        <w:t xml:space="preserve">, </w:t>
      </w:r>
      <w:r>
        <w:rPr>
          <w:rtl w:val="true"/>
        </w:rPr>
        <w:t>אך העריך כי חלה הפחתה בסיכון הנשקף ממנו</w:t>
      </w:r>
      <w:r>
        <w:rPr>
          <w:rtl w:val="true"/>
        </w:rPr>
        <w:t xml:space="preserve">, </w:t>
      </w:r>
      <w:r>
        <w:rPr>
          <w:rtl w:val="true"/>
        </w:rPr>
        <w:t>צוין כי ההליך המשפטי מהווה גורם מרתיע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tl w:val="true"/>
        </w:rPr>
        <w:t xml:space="preserve">, </w:t>
      </w:r>
      <w:r>
        <w:rPr>
          <w:rtl w:val="true"/>
        </w:rPr>
        <w:t>בעקבות פציעתו</w:t>
      </w:r>
      <w:r>
        <w:rPr>
          <w:rtl w:val="true"/>
        </w:rPr>
        <w:t xml:space="preserve">, </w:t>
      </w:r>
      <w:r>
        <w:rPr>
          <w:rtl w:val="true"/>
        </w:rPr>
        <w:t>צמצם קשרים חברתיים</w:t>
      </w:r>
      <w:r>
        <w:rPr>
          <w:rtl w:val="true"/>
        </w:rPr>
        <w:t xml:space="preserve">, </w:t>
      </w:r>
      <w:r>
        <w:rPr>
          <w:rtl w:val="true"/>
        </w:rPr>
        <w:t>חרד לצאת לבד מביתו ומשקיע זמנו בשיקום מצבו</w:t>
      </w:r>
      <w:r>
        <w:rPr>
          <w:rtl w:val="true"/>
        </w:rPr>
        <w:t xml:space="preserve">. </w:t>
      </w:r>
      <w:r>
        <w:rPr>
          <w:rtl w:val="true"/>
        </w:rPr>
        <w:t>נוכח נסיבותיו</w:t>
      </w:r>
      <w:r>
        <w:rPr>
          <w:rtl w:val="true"/>
        </w:rPr>
        <w:t xml:space="preserve">, </w:t>
      </w:r>
      <w:r>
        <w:rPr>
          <w:rtl w:val="true"/>
        </w:rPr>
        <w:t>המליץ להסתפק בענישה מתונה הכוללת צו של</w:t>
      </w:r>
      <w:r>
        <w:rPr>
          <w:rtl w:val="true"/>
        </w:rPr>
        <w:t>"</w:t>
      </w:r>
      <w:r>
        <w:rPr>
          <w:rtl w:val="true"/>
        </w:rPr>
        <w:t>צ וצו מבחן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84" w:end="0"/>
        <w:jc w:val="both"/>
        <w:rPr/>
      </w:pPr>
      <w:r>
        <w:rPr>
          <w:rtl w:val="true"/>
        </w:rPr>
        <w:t xml:space="preserve">בתסקירו המשלים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26.10.22</w:t>
      </w:r>
      <w:r>
        <w:rPr>
          <w:rtl w:val="true"/>
        </w:rPr>
        <w:t xml:space="preserve">) </w:t>
      </w:r>
      <w:r>
        <w:rPr>
          <w:rtl w:val="true"/>
        </w:rPr>
        <w:t>חזר והדגיש את הנסיגה במצבו הנפשי והמצוקה הרגשית בה שרוי</w:t>
      </w:r>
      <w:r>
        <w:rPr>
          <w:rtl w:val="true"/>
        </w:rPr>
        <w:t xml:space="preserve">. </w:t>
      </w:r>
      <w:r>
        <w:rPr>
          <w:rtl w:val="true"/>
        </w:rPr>
        <w:t>עוד חזרו על המלצתם</w:t>
      </w:r>
      <w:r>
        <w:rPr>
          <w:rtl w:val="true"/>
        </w:rPr>
        <w:t xml:space="preserve">, </w:t>
      </w:r>
      <w:r>
        <w:rPr>
          <w:rtl w:val="true"/>
        </w:rPr>
        <w:t>נוכח שיתוף הפעולה של הנאשם</w:t>
      </w:r>
      <w:r>
        <w:rPr>
          <w:rtl w:val="true"/>
        </w:rPr>
        <w:t xml:space="preserve">, </w:t>
      </w:r>
      <w:r>
        <w:rPr>
          <w:rtl w:val="true"/>
        </w:rPr>
        <w:t>התגייסות משפחתו לטובתו</w:t>
      </w:r>
      <w:r>
        <w:rPr>
          <w:rtl w:val="true"/>
        </w:rPr>
        <w:t xml:space="preserve">, </w:t>
      </w:r>
      <w:r>
        <w:rPr>
          <w:rtl w:val="true"/>
        </w:rPr>
        <w:t>הליך השיקום הרפואי בו מצוי והכרה בתוצאות מעשיו</w:t>
      </w:r>
      <w:r>
        <w:rPr>
          <w:rtl w:val="true"/>
        </w:rPr>
        <w:t xml:space="preserve">, </w:t>
      </w:r>
      <w:r>
        <w:rPr>
          <w:rtl w:val="true"/>
        </w:rPr>
        <w:t>להסתפק בענישה חינוכית שיקומית</w:t>
      </w:r>
      <w:r>
        <w:rPr>
          <w:rtl w:val="true"/>
        </w:rPr>
        <w:t xml:space="preserve">. </w:t>
      </w:r>
    </w:p>
    <w:p>
      <w:pPr>
        <w:pStyle w:val="ListParagraph"/>
        <w:ind w:start="84" w:end="0"/>
        <w:jc w:val="start"/>
        <w:rPr/>
      </w:pPr>
      <w:r>
        <w:rPr>
          <w:rtl w:val="true"/>
        </w:rPr>
      </w:r>
    </w:p>
    <w:p>
      <w:pPr>
        <w:pStyle w:val="ListParagraph"/>
        <w:ind w:start="84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84" w:end="0"/>
        <w:jc w:val="both"/>
        <w:rPr/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84" w:end="0"/>
        <w:jc w:val="both"/>
        <w:rPr/>
      </w:pP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באמצעות עו</w:t>
      </w:r>
      <w:r>
        <w:rPr>
          <w:rtl w:val="true"/>
        </w:rPr>
        <w:t>"</w:t>
      </w:r>
      <w:r>
        <w:rPr>
          <w:rtl w:val="true"/>
        </w:rPr>
        <w:t>ד קרן לוי</w:t>
      </w:r>
      <w:r>
        <w:rPr>
          <w:rtl w:val="true"/>
        </w:rPr>
        <w:t xml:space="preserve">, </w:t>
      </w:r>
      <w:r>
        <w:rPr>
          <w:rtl w:val="true"/>
        </w:rPr>
        <w:t>עמדה בטיעוניה על חומרת מעשי הנאשם</w:t>
      </w:r>
      <w:r>
        <w:rPr>
          <w:rtl w:val="true"/>
        </w:rPr>
        <w:t xml:space="preserve">, </w:t>
      </w:r>
      <w:r>
        <w:rPr>
          <w:rtl w:val="true"/>
        </w:rPr>
        <w:t>פגיעתם בערכים המוגנים של הגנה על שלום הציבור וביטחונו והסיכון הרב הגלום בהם</w:t>
      </w:r>
      <w:r>
        <w:rPr>
          <w:rtl w:val="true"/>
        </w:rPr>
        <w:t xml:space="preserve">. </w:t>
      </w:r>
      <w:r>
        <w:rPr>
          <w:rtl w:val="true"/>
        </w:rPr>
        <w:t>עוד עמדה על מגמת ההחמרה בענישה בעבירות נשק המשתקפת בפסיקת בית המשפט העליון ותיקון החוק</w:t>
      </w:r>
      <w:r>
        <w:rPr>
          <w:rtl w:val="true"/>
        </w:rPr>
        <w:t xml:space="preserve">. </w:t>
      </w:r>
      <w:r>
        <w:rPr>
          <w:rtl w:val="true"/>
        </w:rPr>
        <w:t xml:space="preserve">לפיכך עתרה למתחם ענישה הנע בין </w:t>
      </w:r>
      <w:r>
        <w:rPr/>
        <w:t>48-24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בצד ענישה נלווית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ציינה לקולה את הודאת הנאשם</w:t>
      </w:r>
      <w:r>
        <w:rPr>
          <w:rtl w:val="true"/>
        </w:rPr>
        <w:t xml:space="preserve">, </w:t>
      </w:r>
      <w:r>
        <w:rPr>
          <w:rtl w:val="true"/>
        </w:rPr>
        <w:t>גילו הצעיר והיעדר עבר פלילי אך סבורה שהמלצת שירות המבחן לענישה שיקומית אין לה בסיס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אין ליתן משקל מיוחד למצבו הרפואי כיוון שנגרם כתוצאה ממעורבותו בעולם הנשק</w:t>
      </w:r>
      <w:r>
        <w:rPr>
          <w:rtl w:val="true"/>
        </w:rPr>
        <w:t xml:space="preserve">. </w:t>
      </w:r>
      <w:r>
        <w:rPr>
          <w:rtl w:val="true"/>
        </w:rPr>
        <w:t>משכך עתרה למקמו בשליש התחתון של המתחם אך לא בתחתיתו</w:t>
      </w:r>
      <w:r>
        <w:rPr>
          <w:rtl w:val="true"/>
        </w:rPr>
        <w:t xml:space="preserve">.   </w:t>
      </w:r>
    </w:p>
    <w:p>
      <w:pPr>
        <w:pStyle w:val="ListParagraph"/>
        <w:spacing w:lineRule="auto" w:line="360"/>
        <w:ind w:hanging="283" w:start="84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84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בר עוז ועו</w:t>
      </w:r>
      <w:r>
        <w:rPr>
          <w:rtl w:val="true"/>
        </w:rPr>
        <w:t>"</w:t>
      </w:r>
      <w:r>
        <w:rPr>
          <w:rtl w:val="true"/>
        </w:rPr>
        <w:t>ד בראנסי</w:t>
      </w:r>
      <w:r>
        <w:rPr>
          <w:rtl w:val="true"/>
        </w:rPr>
        <w:t xml:space="preserve">, </w:t>
      </w:r>
      <w:r>
        <w:rPr>
          <w:rtl w:val="true"/>
        </w:rPr>
        <w:t>עמדו על גילו הצעיר</w:t>
      </w:r>
      <w:r>
        <w:rPr>
          <w:rtl w:val="true"/>
        </w:rPr>
        <w:t xml:space="preserve">, </w:t>
      </w:r>
      <w:r>
        <w:rPr>
          <w:rtl w:val="true"/>
        </w:rPr>
        <w:t xml:space="preserve">מורכבות מצבו הרפואי </w:t>
      </w:r>
      <w:r>
        <w:rPr>
          <w:rtl w:val="true"/>
        </w:rPr>
        <w:t>(</w:t>
      </w:r>
      <w:r>
        <w:rPr>
          <w:rtl w:val="true"/>
        </w:rPr>
        <w:t xml:space="preserve">אסופת מסמכים רפואיים 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אורח חייו הנורמטיבי ונתוניו הטובים</w:t>
      </w:r>
      <w:r>
        <w:rPr>
          <w:rtl w:val="true"/>
        </w:rPr>
        <w:t xml:space="preserve">, </w:t>
      </w:r>
      <w:r>
        <w:rPr>
          <w:rtl w:val="true"/>
        </w:rPr>
        <w:t>כשכל אלו מעידים לדידם על פוטנציאל שיקומי כדרישת החוק</w:t>
      </w:r>
      <w:r>
        <w:rPr>
          <w:rtl w:val="true"/>
        </w:rPr>
        <w:t xml:space="preserve">, </w:t>
      </w:r>
      <w:r>
        <w:rPr>
          <w:rtl w:val="true"/>
        </w:rPr>
        <w:t>משכך עתרו לאמץ את המלצת שירות המבחן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לאחר שהנאשם חווה על בשרו את הסכנות הנובעות משימוש בנשק</w:t>
      </w:r>
      <w:r>
        <w:rPr>
          <w:rtl w:val="true"/>
        </w:rPr>
        <w:t xml:space="preserve">, </w:t>
      </w:r>
      <w:r>
        <w:rPr>
          <w:rtl w:val="true"/>
        </w:rPr>
        <w:t xml:space="preserve">למד את לקחו וכי גזירת מאסר בפועל תגרום לנזק בלתי הפיך במצבו הרפואי והנפשי </w:t>
      </w:r>
    </w:p>
    <w:p>
      <w:pPr>
        <w:pStyle w:val="ListParagraph"/>
        <w:ind w:hanging="283" w:start="84"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r>
        <w:rPr>
          <w:rtl w:val="true"/>
        </w:rPr>
        <w:t>הצדדים הגישו פסיקה לתמיכה בעתירתם העונשית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hanging="283" w:start="84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84" w:end="0"/>
        <w:jc w:val="both"/>
        <w:rPr/>
      </w:pPr>
      <w:r>
        <w:rPr>
          <w:rtl w:val="true"/>
        </w:rPr>
        <w:t>לטובת הנאשם העידה אחותו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רימה מסארווה</w:t>
      </w:r>
      <w:r>
        <w:rPr>
          <w:rtl w:val="true"/>
        </w:rPr>
        <w:t xml:space="preserve">. </w:t>
      </w:r>
      <w:r>
        <w:rPr>
          <w:rtl w:val="true"/>
        </w:rPr>
        <w:t>האחות</w:t>
      </w:r>
      <w:r>
        <w:rPr>
          <w:rtl w:val="true"/>
        </w:rPr>
        <w:t xml:space="preserve">, </w:t>
      </w:r>
      <w:r>
        <w:rPr>
          <w:rtl w:val="true"/>
        </w:rPr>
        <w:t>הלוקה בעיוורון</w:t>
      </w:r>
      <w:r>
        <w:rPr>
          <w:rtl w:val="true"/>
        </w:rPr>
        <w:t xml:space="preserve">, </w:t>
      </w:r>
      <w:r>
        <w:rPr>
          <w:rtl w:val="true"/>
        </w:rPr>
        <w:t>סטודנטית ומורה לחינוך מיוחד</w:t>
      </w:r>
      <w:r>
        <w:rPr>
          <w:rtl w:val="true"/>
        </w:rPr>
        <w:t xml:space="preserve">, </w:t>
      </w:r>
      <w:r>
        <w:rPr>
          <w:rtl w:val="true"/>
        </w:rPr>
        <w:t>סיפרה שנעזרת באחיה שדואג לה ונותן לה תקווה</w:t>
      </w:r>
      <w:r>
        <w:rPr>
          <w:rtl w:val="true"/>
        </w:rPr>
        <w:t xml:space="preserve">, </w:t>
      </w:r>
      <w:r>
        <w:rPr>
          <w:rtl w:val="true"/>
        </w:rPr>
        <w:t>וביקשה לתת לו הזדמנות לערוך שינוי חיובי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hanging="283" w:start="84" w:end="0"/>
        <w:jc w:val="both"/>
        <w:rPr/>
      </w:pPr>
      <w:r>
        <w:rPr>
          <w:rtl w:val="true"/>
        </w:rPr>
      </w:r>
    </w:p>
    <w:p>
      <w:pPr>
        <w:pStyle w:val="ListParagraph"/>
        <w:ind w:start="84" w:end="0"/>
        <w:jc w:val="start"/>
        <w:rPr/>
      </w:pPr>
      <w:r>
        <w:rPr>
          <w:b/>
          <w:b/>
          <w:bCs/>
          <w:rtl w:val="true"/>
        </w:rPr>
        <w:t xml:space="preserve">הנאשם בדברו האחרון </w:t>
      </w:r>
      <w:r>
        <w:rPr>
          <w:rtl w:val="true"/>
        </w:rPr>
        <w:t>הצר על טעותו וביקש להתחשב בו</w:t>
      </w:r>
      <w:r>
        <w:rPr>
          <w:rtl w:val="true"/>
        </w:rPr>
        <w:t xml:space="preserve">. </w:t>
      </w:r>
    </w:p>
    <w:p>
      <w:pPr>
        <w:pStyle w:val="ListParagraph"/>
        <w:ind w:start="84" w:end="0"/>
        <w:jc w:val="start"/>
        <w:rPr/>
      </w:pPr>
      <w:r>
        <w:rPr>
          <w:rtl w:val="true"/>
        </w:rPr>
      </w:r>
    </w:p>
    <w:p>
      <w:pPr>
        <w:pStyle w:val="ListParagraph"/>
        <w:ind w:start="84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start="8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3"/>
        </w:numPr>
        <w:spacing w:lineRule="auto" w:line="360"/>
        <w:ind w:hanging="425" w:start="84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על ההליך שבפני חלים עקרונות הבניית שיקול הדעת השיפוטי בענישה בהתאם להוראות תיקון </w:t>
      </w:r>
      <w:r>
        <w:rPr>
          <w:rFonts w:eastAsia="Times New Roman" w:cs="Times New Roman" w:ascii="Times New Roman" w:hAnsi="Times New Roman"/>
        </w:rPr>
        <w:t>113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פ הוראות אלו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העיקרון המנחה בענישה הינו עקרון ההלימה שפירושו קיומו של יחס הולם בין חומרת מעשה העבירה בנסיבותיו ובמידת אשמו של הנאשם ובין סוג ומידת העונש המוטל עליו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בדרכו של עקרון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בית המשפט לקבוע מתחם עונש הולם למעשה העבירה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שהוא מתחשב בערך החברתי המוגן שנפגע ומידת הפגיעה 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במדיניות הענישה הנהוגה ובנסיבותיה הקונקרטיות של העבירה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בשלב הבא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לאחר שנקבע מתחם העונש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ובית המשפט לא מצא מקום לחרוג ממנו לקולא או לחומרא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נקבע העונש הראוי תוך התחשבות בנסיבות העושה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spacing w:lineRule="auto" w:line="360"/>
        <w:ind w:hanging="425" w:start="84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60"/>
        <w:ind w:start="84" w:end="0"/>
        <w:contextualSpacing/>
        <w:jc w:val="both"/>
        <w:rPr/>
      </w:pPr>
      <w:r>
        <w:rPr>
          <w:rtl w:val="true"/>
        </w:rPr>
        <w:t>דומה שאין צורך להכביר מילים ביחס לחומרתן של עבירות הנשק והסיכון הנשקף מהן לשלום הציבור וביטחונו</w:t>
      </w:r>
      <w:r>
        <w:rPr>
          <w:rtl w:val="true"/>
        </w:rPr>
        <w:t xml:space="preserve">, </w:t>
      </w:r>
      <w:r>
        <w:rPr>
          <w:rtl w:val="true"/>
        </w:rPr>
        <w:t>למרבה הצער עבירות בנשק חם הפכו להיות תופעה נפוצה במחוזותינו ולעיתים תכופות אנו עדי לנזקי עבירות אלו</w:t>
      </w:r>
      <w:r>
        <w:rPr>
          <w:rtl w:val="true"/>
        </w:rPr>
        <w:t xml:space="preserve">, </w:t>
      </w:r>
      <w:r>
        <w:rPr>
          <w:rtl w:val="true"/>
        </w:rPr>
        <w:t>בדמות פגיעות בגוף או בנפש</w:t>
      </w:r>
      <w:r>
        <w:rPr>
          <w:rtl w:val="true"/>
        </w:rPr>
        <w:t xml:space="preserve">, </w:t>
      </w:r>
      <w:r>
        <w:rPr>
          <w:rtl w:val="true"/>
        </w:rPr>
        <w:t xml:space="preserve">ואף אובדן חיי אדם </w:t>
      </w:r>
      <w:r>
        <w:rPr>
          <w:rtl w:val="true"/>
        </w:rPr>
        <w:t>(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4456/21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 עבסה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23.1.2022</w:t>
      </w:r>
      <w:r>
        <w:rPr>
          <w:rtl w:val="true"/>
        </w:rPr>
        <w:t xml:space="preserve">)). </w:t>
      </w:r>
      <w:r>
        <w:rPr>
          <w:rtl w:val="true"/>
        </w:rPr>
        <w:t>נוכח מימדיה המדאיגים של התופעה נרתמו גם בתי המשפט למאבק למיגורה במדיניות ענישה בלתי מתפשרת כלפי כל עברייני הנשק</w:t>
      </w:r>
      <w:r>
        <w:rPr>
          <w:rtl w:val="true"/>
        </w:rPr>
        <w:t xml:space="preserve">, </w:t>
      </w:r>
      <w:r>
        <w:rPr>
          <w:rtl w:val="true"/>
        </w:rPr>
        <w:t>תוך מתן משקל בכורה לשיקול ההרתעתי</w:t>
      </w:r>
      <w:r>
        <w:rPr>
          <w:rtl w:val="true"/>
        </w:rPr>
        <w:t xml:space="preserve">, </w:t>
      </w:r>
      <w:r>
        <w:rPr>
          <w:rtl w:val="true"/>
        </w:rPr>
        <w:t>אף לנאשמים צעירים ונעדרי עבר פלילי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המסר העונשי הנגזר ממדיניות הענישה האמורה הוא כי שומר נפשו ושלומו – ירחק מעבירות הנשק באשר 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קלות כחמורות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 xml:space="preserve">פסקה </w:t>
      </w:r>
      <w:r>
        <w:rPr/>
        <w:t>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>);</w:t>
      </w:r>
      <w:r>
        <w:rPr>
          <w:rFonts w:eastAsia="Calibri"/>
          <w:rtl w:val="true"/>
        </w:rPr>
        <w:t xml:space="preserve"> </w:t>
      </w:r>
      <w:hyperlink r:id="rId8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/>
            <w:color w:val="0000FF"/>
            <w:u w:val="single"/>
          </w:rPr>
          <w:t>587/22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עדאב אבו נאעסה 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מדינת ישראל</w:t>
      </w:r>
      <w:r>
        <w:rPr>
          <w:rFonts w:eastAsia="Calibri"/>
          <w:rtl w:val="true"/>
        </w:rPr>
        <w:t xml:space="preserve"> פסקה </w:t>
      </w:r>
      <w:r>
        <w:rPr>
          <w:rFonts w:eastAsia="Calibri"/>
        </w:rPr>
        <w:t>13</w:t>
      </w:r>
      <w:r>
        <w:rPr>
          <w:rFonts w:eastAsia="Calibri"/>
          <w:rtl w:val="true"/>
        </w:rPr>
        <w:t xml:space="preserve"> (</w:t>
      </w:r>
      <w:r>
        <w:rPr>
          <w:rFonts w:eastAsia="Calibri"/>
        </w:rPr>
        <w:t>22.5.2022</w:t>
      </w:r>
      <w:r>
        <w:rPr>
          <w:rFonts w:eastAsia="Calibri"/>
          <w:rtl w:val="true"/>
        </w:rPr>
        <w:t>)</w:t>
      </w:r>
      <w:r>
        <w:rPr>
          <w:rtl w:val="true"/>
        </w:rPr>
        <w:t xml:space="preserve">;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 קדורה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5-6</w:t>
      </w:r>
      <w:r>
        <w:rPr>
          <w:rtl w:val="true"/>
        </w:rPr>
        <w:t xml:space="preserve"> (</w:t>
      </w:r>
      <w:r>
        <w:rPr/>
        <w:t>14.4.2022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 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 xml:space="preserve">פסקה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 נבארי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)). </w:t>
      </w:r>
      <w:r>
        <w:rPr>
          <w:rtl w:val="true"/>
        </w:rPr>
        <w:t xml:space="preserve">בהקשר זה נזכיר את התיקון לחוק </w:t>
      </w:r>
      <w:r>
        <w:rPr>
          <w:rtl w:val="true"/>
        </w:rPr>
        <w:t>(</w:t>
      </w:r>
      <w:r>
        <w:rPr>
          <w:rtl w:val="true"/>
        </w:rPr>
        <w:t xml:space="preserve">תיקון </w:t>
      </w:r>
      <w:r>
        <w:rPr/>
        <w:t>140</w:t>
      </w:r>
      <w:r>
        <w:rPr>
          <w:rtl w:val="true"/>
        </w:rPr>
        <w:t>-</w:t>
      </w:r>
      <w:r>
        <w:rPr>
          <w:rtl w:val="true"/>
        </w:rPr>
        <w:t>הוראה שעה</w:t>
      </w:r>
      <w:r>
        <w:rPr>
          <w:rtl w:val="true"/>
        </w:rPr>
        <w:t xml:space="preserve">)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אשר אמנם אינו חל בענייננו אך רוחו שורה גם על עבירות שבוצעו בתקופות קודמות לו ומשקפת את רצון המחוקק בהחמרת הענישה בעבירות ממין דא</w:t>
      </w:r>
      <w:r>
        <w:rPr>
          <w:rtl w:val="true"/>
        </w:rPr>
        <w:t>.</w:t>
      </w:r>
    </w:p>
    <w:p>
      <w:pPr>
        <w:pStyle w:val="ListParagraph"/>
        <w:ind w:hanging="425" w:start="84" w:end="0"/>
        <w:jc w:val="start"/>
        <w:rPr>
          <w:color w:val="000000"/>
          <w:spacing w:val="10"/>
        </w:rPr>
      </w:pPr>
      <w:r>
        <w:rPr>
          <w:color w:val="000000"/>
          <w:spacing w:val="1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425" w:start="84" w:end="0"/>
        <w:contextualSpacing/>
        <w:jc w:val="both"/>
        <w:rPr/>
      </w:pPr>
      <w:r>
        <w:rPr>
          <w:rtl w:val="true"/>
        </w:rPr>
        <w:t>בענייננו</w:t>
      </w:r>
      <w:r>
        <w:rPr>
          <w:rtl w:val="true"/>
        </w:rPr>
        <w:t>,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tl w:val="true"/>
        </w:rPr>
        <w:t>הנאשם נשא אקדח טעון ברכבו בעיר טייבה</w:t>
      </w:r>
      <w:r>
        <w:rPr>
          <w:rtl w:val="true"/>
        </w:rPr>
        <w:t xml:space="preserve">. </w:t>
      </w:r>
      <w:r>
        <w:rPr>
          <w:rtl w:val="true"/>
        </w:rPr>
        <w:t>לא הובהר כיצד הגיע האקדח לחזקתו</w:t>
      </w:r>
      <w:r>
        <w:rPr>
          <w:rtl w:val="true"/>
        </w:rPr>
        <w:t xml:space="preserve">, </w:t>
      </w:r>
      <w:r>
        <w:rPr>
          <w:rtl w:val="true"/>
        </w:rPr>
        <w:t>ואף מטרת הנשיאה והרקע לביצועה נותרו עמומים</w:t>
      </w:r>
      <w:r>
        <w:rPr>
          <w:rtl w:val="true"/>
        </w:rPr>
        <w:t xml:space="preserve">, </w:t>
      </w:r>
      <w:r>
        <w:rPr>
          <w:rtl w:val="true"/>
        </w:rPr>
        <w:t>וככל הנראה קשורים למעורבותו באותה התקופה בחברה שולית</w:t>
      </w:r>
      <w:r>
        <w:rPr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פוטנציאל הנזק הגלום בנשיאת אקדח טעון בסביבת מגורים הוא רב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tl w:val="true"/>
        </w:rPr>
        <w:t>זמינותו של הנשק מעלה את הסיכון שיעשה בו שימוש למטרות פסולות</w:t>
      </w:r>
      <w:r>
        <w:rPr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ולמרבה הצער הנאשם למד על בשרו את הסכנות הטמונות בו ומתמודד כיום עם נזקי פציעת ירי חמורה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hanging="425" w:start="84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425" w:start="84" w:end="0"/>
        <w:contextualSpacing/>
        <w:jc w:val="both"/>
        <w:textAlignment w:val="base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בחינת מידת פגיעת מעשי הנאשם בערכים המוגנים מובילה למסקנה כי היא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ברף הבינוני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בהקשר זה נתתי דעתי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לסוג הנשק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הובלתו ברכב ברחבי עיר והחזקת תחמושת תואמת ולכך שלא יוחס לו שימוש בנשק או תכנון עבירה פלילית באמצעותו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hanging="425" w:start="84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425" w:start="84" w:end="0"/>
        <w:jc w:val="start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ListParagraph"/>
        <w:numPr>
          <w:ilvl w:val="0"/>
          <w:numId w:val="3"/>
        </w:numPr>
        <w:spacing w:lineRule="auto" w:line="360"/>
        <w:ind w:hanging="425" w:start="84" w:end="0"/>
        <w:jc w:val="both"/>
        <w:rPr>
          <w:rFonts w:ascii="Calibri" w:hAnsi="Calibri"/>
          <w:b/>
          <w:bCs/>
        </w:rPr>
      </w:pPr>
      <w:r>
        <w:rPr>
          <w:rtl w:val="true"/>
        </w:rPr>
        <w:t>בפסיקה ענפה הושתו על נושאי נשק עונשי מאסר מאחורי סורג ובריח לתקופות לא קצרות</w:t>
      </w:r>
      <w:r>
        <w:rPr>
          <w:rtl w:val="true"/>
        </w:rPr>
        <w:t xml:space="preserve">. </w:t>
      </w:r>
      <w:r>
        <w:rPr>
          <w:rtl w:val="true"/>
        </w:rPr>
        <w:t>הפסיקה אינה מקלה עם נאשמים צעירים שזו להם הסתבכותם הראשונה עם החוק</w:t>
      </w:r>
      <w:r>
        <w:rPr>
          <w:rtl w:val="true"/>
        </w:rPr>
        <w:t xml:space="preserve">, </w:t>
      </w:r>
      <w:r>
        <w:rPr>
          <w:rtl w:val="true"/>
        </w:rPr>
        <w:t>אף בעבירות שבוצעו בנסיבות ברף חומרה שאינו גבוה</w:t>
      </w:r>
      <w:r>
        <w:rPr>
          <w:rtl w:val="true"/>
        </w:rPr>
        <w:t xml:space="preserve">. </w:t>
      </w:r>
      <w:r>
        <w:rPr>
          <w:rtl w:val="true"/>
        </w:rPr>
        <w:t>עוד נקבע בהקשר זה</w:t>
      </w:r>
      <w:r>
        <w:rPr>
          <w:rtl w:val="true"/>
        </w:rPr>
        <w:t xml:space="preserve">, </w:t>
      </w:r>
      <w:r>
        <w:rPr>
          <w:rtl w:val="true"/>
        </w:rPr>
        <w:t>כי אין מקום להקלה גם מקום שסיבת החזקת הנשק או השימוש בו</w:t>
      </w:r>
      <w:r>
        <w:rPr>
          <w:rtl w:val="true"/>
        </w:rPr>
        <w:t xml:space="preserve">, </w:t>
      </w:r>
      <w:r>
        <w:rPr>
          <w:rtl w:val="true"/>
        </w:rPr>
        <w:t>אינם ידועים</w:t>
      </w:r>
      <w:r>
        <w:rPr>
          <w:rtl w:val="true"/>
        </w:rPr>
        <w:t xml:space="preserve">: </w:t>
      </w:r>
      <w:r>
        <w:rPr>
          <w:rFonts w:ascii="Calibri" w:hAnsi="Calibri"/>
          <w:b/>
          <w:bCs/>
          <w:rtl w:val="true"/>
        </w:rPr>
        <w:t>"</w:t>
      </w:r>
      <w:r>
        <w:rPr>
          <w:rFonts w:ascii="Calibri" w:hAnsi="Calibri"/>
          <w:b/>
          <w:b/>
          <w:bCs/>
          <w:rtl w:val="true"/>
        </w:rPr>
        <w:t>יש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להחמיר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בענישה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בגין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עבירות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בנשק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ש</w:t>
      </w:r>
      <w:r>
        <w:rPr>
          <w:rFonts w:ascii="Calibri" w:hAnsi="Calibri"/>
          <w:b/>
          <w:bCs/>
          <w:rtl w:val="true"/>
        </w:rPr>
        <w:t>"</w:t>
      </w:r>
      <w:r>
        <w:rPr>
          <w:rFonts w:ascii="Calibri" w:hAnsi="Calibri"/>
          <w:b/>
          <w:b/>
          <w:bCs/>
          <w:rtl w:val="true"/>
        </w:rPr>
        <w:t>יעדו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הסופי</w:t>
      </w:r>
      <w:r>
        <w:rPr>
          <w:rFonts w:ascii="Calibri" w:hAnsi="Calibri"/>
          <w:b/>
          <w:bCs/>
          <w:rtl w:val="true"/>
        </w:rPr>
        <w:t xml:space="preserve">" </w:t>
      </w:r>
      <w:r>
        <w:rPr>
          <w:rFonts w:ascii="Calibri" w:hAnsi="Calibri"/>
          <w:b/>
          <w:b/>
          <w:bCs/>
          <w:rtl w:val="true"/>
        </w:rPr>
        <w:t>אינו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נהיר</w:t>
      </w:r>
      <w:r>
        <w:rPr>
          <w:rFonts w:ascii="Calibri" w:hAnsi="Calibri"/>
          <w:b/>
          <w:bCs/>
          <w:rtl w:val="true"/>
        </w:rPr>
        <w:t xml:space="preserve">. </w:t>
      </w:r>
      <w:r>
        <w:rPr>
          <w:rFonts w:ascii="Calibri" w:hAnsi="Calibri"/>
          <w:b/>
          <w:b/>
          <w:bCs/>
          <w:rtl w:val="true"/>
        </w:rPr>
        <w:t>לצערנו</w:t>
      </w:r>
      <w:r>
        <w:rPr>
          <w:rFonts w:ascii="Calibri" w:hAnsi="Calibri"/>
          <w:b/>
          <w:bCs/>
          <w:rtl w:val="true"/>
        </w:rPr>
        <w:t xml:space="preserve">, </w:t>
      </w:r>
      <w:r>
        <w:rPr>
          <w:rFonts w:ascii="Calibri" w:hAnsi="Calibri"/>
          <w:b/>
          <w:b/>
          <w:bCs/>
          <w:rtl w:val="true"/>
        </w:rPr>
        <w:t>בשנים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האחרונות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מורגשת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עלייה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בעבירות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נשק</w:t>
      </w:r>
      <w:r>
        <w:rPr>
          <w:rFonts w:ascii="Calibri" w:hAnsi="Calibri"/>
          <w:b/>
          <w:bCs/>
          <w:rtl w:val="true"/>
        </w:rPr>
        <w:t xml:space="preserve">, </w:t>
      </w:r>
      <w:r>
        <w:rPr>
          <w:rFonts w:ascii="Calibri" w:hAnsi="Calibri"/>
          <w:b/>
          <w:b/>
          <w:bCs/>
          <w:rtl w:val="true"/>
        </w:rPr>
        <w:t>והחברה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משלמת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על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כך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מחיר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כבד</w:t>
      </w:r>
      <w:r>
        <w:rPr>
          <w:rFonts w:ascii="Calibri" w:hAnsi="Calibri"/>
          <w:b/>
          <w:bCs/>
          <w:rtl w:val="true"/>
        </w:rPr>
        <w:t xml:space="preserve">. </w:t>
      </w:r>
      <w:r>
        <w:rPr>
          <w:rFonts w:ascii="Calibri" w:hAnsi="Calibri"/>
          <w:b/>
          <w:b/>
          <w:bCs/>
          <w:rtl w:val="true"/>
        </w:rPr>
        <w:t>במחיר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זה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נושאים</w:t>
      </w:r>
      <w:r>
        <w:rPr>
          <w:rFonts w:ascii="Calibri" w:hAnsi="Calibri"/>
          <w:b/>
          <w:bCs/>
          <w:rtl w:val="true"/>
        </w:rPr>
        <w:t xml:space="preserve">, </w:t>
      </w:r>
      <w:r>
        <w:rPr>
          <w:rFonts w:ascii="Calibri" w:hAnsi="Calibri"/>
          <w:b/>
          <w:b/>
          <w:bCs/>
          <w:rtl w:val="true"/>
        </w:rPr>
        <w:t>יותר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ויותר</w:t>
      </w:r>
      <w:r>
        <w:rPr>
          <w:rFonts w:ascii="Calibri" w:hAnsi="Calibri"/>
          <w:b/>
          <w:bCs/>
          <w:rtl w:val="true"/>
        </w:rPr>
        <w:t xml:space="preserve">, </w:t>
      </w:r>
      <w:r>
        <w:rPr>
          <w:rFonts w:ascii="Calibri" w:hAnsi="Calibri"/>
          <w:b/>
          <w:b/>
          <w:bCs/>
          <w:rtl w:val="true"/>
        </w:rPr>
        <w:t>גם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אזרחים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נורמטיביים</w:t>
      </w:r>
      <w:r>
        <w:rPr>
          <w:rFonts w:ascii="Calibri" w:hAnsi="Calibri"/>
          <w:b/>
          <w:bCs/>
          <w:rtl w:val="true"/>
        </w:rPr>
        <w:t xml:space="preserve">, </w:t>
      </w:r>
      <w:r>
        <w:rPr>
          <w:rFonts w:ascii="Calibri" w:hAnsi="Calibri"/>
          <w:b/>
          <w:b/>
          <w:bCs/>
          <w:rtl w:val="true"/>
        </w:rPr>
        <w:t>שאינם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מעורבים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בעולם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העברייני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בכלל</w:t>
      </w:r>
      <w:r>
        <w:rPr>
          <w:rFonts w:ascii="Calibri" w:hAnsi="Calibri"/>
          <w:b/>
          <w:bCs/>
          <w:rtl w:val="true"/>
        </w:rPr>
        <w:t xml:space="preserve">, </w:t>
      </w:r>
      <w:r>
        <w:rPr>
          <w:rFonts w:ascii="Calibri" w:hAnsi="Calibri"/>
          <w:b/>
          <w:b/>
          <w:bCs/>
          <w:rtl w:val="true"/>
        </w:rPr>
        <w:t>ובעולם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הנשק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בפרט</w:t>
      </w:r>
      <w:r>
        <w:rPr>
          <w:rFonts w:ascii="Calibri" w:hAnsi="Calibri"/>
          <w:b/>
          <w:bCs/>
          <w:rtl w:val="true"/>
        </w:rPr>
        <w:t xml:space="preserve">. </w:t>
      </w:r>
      <w:r>
        <w:rPr>
          <w:rFonts w:ascii="Calibri" w:hAnsi="Calibri"/>
          <w:b/>
          <w:b/>
          <w:bCs/>
          <w:rtl w:val="true"/>
        </w:rPr>
        <w:t>ההיקף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הגדול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של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עבירות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הנשק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הופך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את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המרחב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הציבורי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למקום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מסוכן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יותר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ובטוח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פחות</w:t>
      </w:r>
      <w:r>
        <w:rPr>
          <w:rFonts w:ascii="Calibri" w:hAnsi="Calibri"/>
          <w:b/>
          <w:bCs/>
          <w:rtl w:val="true"/>
        </w:rPr>
        <w:t>"</w:t>
      </w:r>
      <w:r>
        <w:rPr>
          <w:rFonts w:ascii="Calibri" w:hAnsi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hyperlink r:id="rId1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2101/21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תומר טוביה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eastAsia="Calibri" w:cs="Calibri" w:ascii="Calibri" w:hAnsi="Calibri"/>
        </w:rPr>
        <w:t>29.7.2021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ListParagraph"/>
        <w:spacing w:lineRule="auto" w:line="360"/>
        <w:ind w:start="84"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</w:r>
    </w:p>
    <w:p>
      <w:pPr>
        <w:pStyle w:val="ListParagraph"/>
        <w:spacing w:lineRule="auto" w:line="360"/>
        <w:ind w:start="84" w:end="0"/>
        <w:jc w:val="both"/>
        <w:rPr>
          <w:rFonts w:ascii="Calibri" w:hAnsi="Calibri"/>
        </w:rPr>
      </w:pPr>
      <w:r>
        <w:rPr>
          <w:rFonts w:ascii="Calibri" w:hAnsi="Calibri" w:eastAsia="Calibri" w:cs="Calibri"/>
          <w:rtl w:val="true"/>
        </w:rPr>
        <w:t>מדיניות הפסיקה בעבירות נשק מהעת האחרונה מלמדת על מגמת החמרה עקבית ומשמעותית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כשמתחם הענישה בעבירה של נשיאת</w:t>
      </w:r>
      <w:r>
        <w:rPr>
          <w:rFonts w:eastAsia="Calibri" w:cs="Calibri" w:ascii="Calibri" w:hAnsi="Calibri"/>
          <w:rtl w:val="true"/>
        </w:rPr>
        <w:t>/</w:t>
      </w:r>
      <w:r>
        <w:rPr>
          <w:rFonts w:ascii="Calibri" w:hAnsi="Calibri" w:eastAsia="Calibri" w:cs="Calibri"/>
          <w:rtl w:val="true"/>
        </w:rPr>
        <w:t xml:space="preserve">הובלת נשק נע בין </w:t>
      </w:r>
      <w:r>
        <w:rPr>
          <w:rFonts w:ascii="Calibri" w:hAnsi="Calibri"/>
          <w:b/>
          <w:bCs/>
        </w:rPr>
        <w:t>20-40</w:t>
      </w:r>
      <w:r>
        <w:rPr>
          <w:rFonts w:ascii="Calibri" w:hAnsi="Calibri"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חודשי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תלוי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המעשה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וסוג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הנשק</w:t>
      </w:r>
      <w:r>
        <w:rPr>
          <w:rFonts w:ascii="Calibri" w:hAnsi="Calibri"/>
          <w:rtl w:val="true"/>
        </w:rPr>
        <w:t>:</w:t>
      </w:r>
    </w:p>
    <w:p>
      <w:pPr>
        <w:pStyle w:val="ListParagraph"/>
        <w:spacing w:lineRule="auto" w:line="360" w:before="0" w:after="160"/>
        <w:ind w:start="84" w:end="0"/>
        <w:contextualSpacing/>
        <w:jc w:val="both"/>
        <w:rPr>
          <w:rFonts w:ascii="Calibri" w:hAnsi="Calibri"/>
        </w:rPr>
      </w:pPr>
      <w:r>
        <w:rPr>
          <w:rFonts w:ascii="Calibri" w:hAnsi="Calibri"/>
          <w:rtl w:val="true"/>
        </w:rPr>
      </w:r>
    </w:p>
    <w:p>
      <w:pPr>
        <w:pStyle w:val="ListParagraph"/>
        <w:spacing w:lineRule="auto" w:line="360" w:before="0" w:after="160"/>
        <w:ind w:start="84" w:end="0"/>
        <w:contextualSpacing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166/22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טאהא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1.6.2022</w:t>
      </w:r>
      <w:r>
        <w:rPr>
          <w:rtl w:val="true"/>
        </w:rPr>
        <w:t xml:space="preserve">), </w:t>
      </w:r>
      <w:r>
        <w:rPr>
          <w:rtl w:val="true"/>
        </w:rPr>
        <w:t>נדחה ערעורו של נאשם שהורשע בכך שהוביל ברכב</w:t>
      </w:r>
      <w:r>
        <w:rPr>
          <w:rtl w:val="true"/>
        </w:rPr>
        <w:t xml:space="preserve">, </w:t>
      </w:r>
      <w:r>
        <w:rPr>
          <w:rtl w:val="true"/>
        </w:rPr>
        <w:t>לבקשת חברו</w:t>
      </w:r>
      <w:r>
        <w:rPr>
          <w:rtl w:val="true"/>
        </w:rPr>
        <w:t xml:space="preserve">, </w:t>
      </w:r>
      <w:r>
        <w:rPr>
          <w:rtl w:val="true"/>
        </w:rPr>
        <w:t>שקית ובתוכה תת</w:t>
      </w:r>
      <w:r>
        <w:rPr>
          <w:rtl w:val="true"/>
        </w:rPr>
        <w:t>-</w:t>
      </w:r>
      <w:r>
        <w:rPr>
          <w:rtl w:val="true"/>
        </w:rPr>
        <w:t>מקלע מאולתר ותחמושת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הנע בין </w:t>
      </w:r>
      <w:r>
        <w:rPr/>
        <w:t>40-20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ערעורו של הנאשם נדחה תוך שנקבע</w:t>
      </w:r>
      <w:r>
        <w:rPr>
          <w:rtl w:val="true"/>
        </w:rPr>
        <w:t xml:space="preserve">, </w:t>
      </w:r>
      <w:r>
        <w:rPr>
          <w:rtl w:val="true"/>
        </w:rPr>
        <w:t>והדברים יפים גם לענייננו</w:t>
      </w:r>
      <w:r>
        <w:rPr>
          <w:rtl w:val="true"/>
        </w:rPr>
        <w:t xml:space="preserve">, 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b/>
          <w:b/>
          <w:bCs/>
          <w:rtl w:val="true"/>
        </w:rPr>
        <w:t>ההסעה ה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תמימה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של נשק מסוג תת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מקלע מנקודה 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לנקודה ב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נועדה בסבירות גבוהה לסייע לביצוע 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ורק בנס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ובזכות תושייתו של השוטר שערך את החיפוש ברכב התמים למראה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הסתיים האירוע ללא נפגעים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/>
        <w:ind w:start="84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1695/22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גנאים 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29.3.22</w:t>
      </w:r>
      <w:r>
        <w:rPr>
          <w:rtl w:val="true"/>
        </w:rPr>
        <w:t xml:space="preserve">) </w:t>
      </w:r>
      <w:r>
        <w:rPr>
          <w:rtl w:val="true"/>
        </w:rPr>
        <w:t>קיבל בית המשפט העליון את ערעור מדינה כנגד קולת עונשיהם של שני נאשמים צעירים שהורשעו בעבירות נשק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נהג ברכב</w:t>
      </w:r>
      <w:r>
        <w:rPr>
          <w:rtl w:val="true"/>
        </w:rPr>
        <w:t xml:space="preserve">, </w:t>
      </w:r>
      <w:r>
        <w:rPr>
          <w:rtl w:val="true"/>
        </w:rPr>
        <w:t>כשהוא מוביל תת</w:t>
      </w:r>
      <w:r>
        <w:rPr>
          <w:rtl w:val="true"/>
        </w:rPr>
        <w:t>-</w:t>
      </w:r>
      <w:r>
        <w:rPr>
          <w:rtl w:val="true"/>
        </w:rPr>
        <w:t>מקלע מאולתר לצד מחסנית מאולתרת תואמת</w:t>
      </w:r>
      <w:r>
        <w:rPr>
          <w:rtl w:val="true"/>
        </w:rPr>
        <w:t xml:space="preserve">.  </w:t>
      </w:r>
      <w:r>
        <w:rPr>
          <w:rtl w:val="true"/>
        </w:rPr>
        <w:t xml:space="preserve">בית המשפט המחוזי קבע בענייננו מתחם הנע בין </w:t>
      </w:r>
      <w:r>
        <w:rPr/>
        <w:t>36-19</w:t>
      </w:r>
      <w:r>
        <w:rPr>
          <w:rtl w:val="true"/>
        </w:rPr>
        <w:t xml:space="preserve"> </w:t>
      </w:r>
      <w:r>
        <w:rPr>
          <w:rtl w:val="true"/>
        </w:rPr>
        <w:t>חודשי מאסר והעמיד את עונשו בתחתית המתחם</w:t>
      </w:r>
      <w:r>
        <w:rPr>
          <w:rtl w:val="true"/>
        </w:rPr>
        <w:t xml:space="preserve">, </w:t>
      </w:r>
      <w:r>
        <w:rPr>
          <w:rtl w:val="true"/>
        </w:rPr>
        <w:t>עונשו הוחמר</w:t>
      </w:r>
      <w:r>
        <w:rPr>
          <w:rtl w:val="true"/>
        </w:rPr>
        <w:t xml:space="preserve">, </w:t>
      </w:r>
      <w:r>
        <w:rPr>
          <w:rtl w:val="true"/>
        </w:rPr>
        <w:t>מבלי למצות את חומרת הדין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אשר לנאשם </w:t>
      </w:r>
      <w:r>
        <w:rPr/>
        <w:t>2</w:t>
      </w:r>
      <w:r>
        <w:rPr>
          <w:rtl w:val="true"/>
        </w:rPr>
        <w:t xml:space="preserve">,  </w:t>
      </w:r>
      <w:r>
        <w:rPr>
          <w:rtl w:val="true"/>
        </w:rPr>
        <w:t xml:space="preserve">בן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שהצטרף לנסיעה והורשע גם בכך שתקף שוטר</w:t>
      </w:r>
      <w:r>
        <w:rPr>
          <w:rtl w:val="true"/>
        </w:rPr>
        <w:t xml:space="preserve">, </w:t>
      </w:r>
      <w:r>
        <w:rPr>
          <w:rtl w:val="true"/>
        </w:rPr>
        <w:t>נקבע כי העונש שנגזר עליו</w:t>
      </w:r>
      <w:r>
        <w:rPr>
          <w:rtl w:val="true"/>
        </w:rPr>
        <w:t xml:space="preserve">, </w:t>
      </w:r>
      <w:r>
        <w:rPr>
          <w:rtl w:val="true"/>
        </w:rPr>
        <w:t xml:space="preserve">מאסר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 </w:t>
      </w:r>
      <w:r>
        <w:rPr>
          <w:rtl w:val="true"/>
        </w:rPr>
        <w:t>חורג לקולא באופן קיצוני</w:t>
      </w:r>
      <w:r>
        <w:rPr>
          <w:rtl w:val="true"/>
        </w:rPr>
        <w:t xml:space="preserve">, </w:t>
      </w:r>
      <w:r>
        <w:rPr>
          <w:rtl w:val="true"/>
        </w:rPr>
        <w:t>ועונשו הוחמר 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;</w:t>
      </w:r>
    </w:p>
    <w:p>
      <w:pPr>
        <w:pStyle w:val="ListParagraph"/>
        <w:spacing w:lineRule="auto" w:line="360" w:before="0" w:after="160"/>
        <w:ind w:start="84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84" w:end="0"/>
        <w:jc w:val="both"/>
        <w:rPr>
          <w:rFonts w:ascii="Calibri" w:hAnsi="Calibri"/>
        </w:rPr>
      </w:pPr>
      <w:r>
        <w:rPr>
          <w:rFonts w:ascii="Calibri" w:hAnsi="Calibri"/>
          <w:rtl w:val="true"/>
        </w:rPr>
        <w:t>ב</w:t>
      </w:r>
      <w:hyperlink r:id="rId18">
        <w:r>
          <w:rPr>
            <w:rStyle w:val="Hyperlink"/>
            <w:rFonts w:ascii="Calibri" w:hAnsi="Calibri"/>
            <w:color w:val="0000FF"/>
            <w:u w:val="single"/>
            <w:rtl w:val="true"/>
          </w:rPr>
          <w:t>ע</w:t>
        </w:r>
        <w:r>
          <w:rPr>
            <w:rStyle w:val="Hyperlink"/>
            <w:rFonts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/>
            <w:color w:val="0000FF"/>
            <w:u w:val="single"/>
          </w:rPr>
          <w:t>5602/22</w:t>
        </w:r>
      </w:hyperlink>
      <w:r>
        <w:rPr>
          <w:rFonts w:ascii="Calibri" w:hAnsi="Calibri"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נ</w:t>
      </w:r>
      <w:r>
        <w:rPr>
          <w:rFonts w:ascii="Calibri" w:hAnsi="Calibri"/>
          <w:b/>
          <w:bCs/>
          <w:rtl w:val="true"/>
        </w:rPr>
        <w:t xml:space="preserve">' </w:t>
      </w:r>
      <w:r>
        <w:rPr>
          <w:rFonts w:ascii="Calibri" w:hAnsi="Calibri"/>
          <w:b/>
          <w:b/>
          <w:bCs/>
          <w:rtl w:val="true"/>
        </w:rPr>
        <w:t>פלוני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rtl w:val="true"/>
        </w:rPr>
        <w:t>(</w:t>
      </w:r>
      <w:r>
        <w:rPr>
          <w:rFonts w:ascii="Calibri" w:hAnsi="Calibri"/>
        </w:rPr>
        <w:t>14.9.22</w:t>
      </w:r>
      <w:r>
        <w:rPr>
          <w:rFonts w:ascii="Calibri" w:hAnsi="Calibri"/>
          <w:rtl w:val="true"/>
        </w:rPr>
        <w:t xml:space="preserve">) </w:t>
      </w:r>
      <w:r>
        <w:rPr>
          <w:rFonts w:ascii="Calibri" w:hAnsi="Calibri"/>
          <w:rtl w:val="true"/>
        </w:rPr>
        <w:t>שניתן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לאחרונה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התקבל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ערעור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מדינה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בעניינו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תושב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האזור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שנשא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אקדח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טעון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ברכב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והתנגד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למעצר</w:t>
      </w:r>
      <w:r>
        <w:rPr>
          <w:rFonts w:ascii="Calibri" w:hAnsi="Calibri"/>
          <w:rtl w:val="true"/>
        </w:rPr>
        <w:t xml:space="preserve">,  </w:t>
      </w:r>
      <w:r>
        <w:rPr>
          <w:rFonts w:ascii="Calibri" w:hAnsi="Calibri"/>
          <w:rtl w:val="true"/>
        </w:rPr>
        <w:t>נגזרו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</w:rPr>
        <w:t>18</w:t>
      </w:r>
      <w:r>
        <w:rPr>
          <w:rFonts w:ascii="Calibri" w:hAnsi="Calibri"/>
          <w:rtl w:val="true"/>
        </w:rPr>
        <w:t xml:space="preserve"> </w:t>
      </w:r>
      <w:r>
        <w:rPr>
          <w:rFonts w:ascii="Calibri" w:hAnsi="Calibri"/>
          <w:rtl w:val="true"/>
        </w:rPr>
        <w:t>חודשי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מאסר</w:t>
      </w:r>
      <w:r>
        <w:rPr>
          <w:rFonts w:ascii="Calibri" w:hAnsi="Calibri"/>
          <w:rtl w:val="true"/>
        </w:rPr>
        <w:t xml:space="preserve">. </w:t>
      </w:r>
      <w:r>
        <w:rPr>
          <w:rtl w:val="true"/>
        </w:rPr>
        <w:t xml:space="preserve">בית המשפט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שטיין</w:t>
      </w:r>
      <w:r>
        <w:rPr>
          <w:rtl w:val="true"/>
        </w:rPr>
        <w:t xml:space="preserve">) </w:t>
      </w:r>
      <w:r>
        <w:rPr>
          <w:rtl w:val="true"/>
        </w:rPr>
        <w:t xml:space="preserve">קבע מתחם ענישה ראוי שנע בין </w:t>
      </w:r>
      <w:r>
        <w:rPr/>
        <w:t>30-42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עונשו של המשיב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 xml:space="preserve">הוחמר למאסר בן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ListParagraph"/>
        <w:spacing w:lineRule="auto" w:line="360"/>
        <w:ind w:start="84" w:end="0"/>
        <w:jc w:val="both"/>
        <w:rPr>
          <w:rFonts w:ascii="Calibri" w:hAnsi="Calibri"/>
        </w:rPr>
      </w:pPr>
      <w:r>
        <w:rPr>
          <w:rFonts w:ascii="Calibri" w:hAnsi="Calibri"/>
          <w:rtl w:val="true"/>
        </w:rPr>
      </w:r>
    </w:p>
    <w:p>
      <w:pPr>
        <w:pStyle w:val="ListParagraph"/>
        <w:spacing w:lineRule="auto" w:line="360" w:before="0" w:after="160"/>
        <w:ind w:start="84" w:end="0"/>
        <w:contextualSpacing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6021/21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עבוד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19.12.21</w:t>
      </w:r>
      <w:r>
        <w:rPr>
          <w:rtl w:val="true"/>
        </w:rPr>
        <w:t xml:space="preserve">) </w:t>
      </w:r>
      <w:r>
        <w:rPr>
          <w:rtl w:val="true"/>
        </w:rPr>
        <w:t>נדחה ערעור נאשם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 </w:t>
      </w:r>
      <w:r>
        <w:rPr>
          <w:rtl w:val="true"/>
        </w:rPr>
        <w:t xml:space="preserve">שהורשע בנשיאת נשק מסוג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 xml:space="preserve">והפרעה לשוטר ונדון למאסר בן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נקבע בעניינו מתחם ענישה הנע בין </w:t>
      </w:r>
      <w:r>
        <w:rPr/>
        <w:t>50-24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;</w:t>
      </w:r>
    </w:p>
    <w:p>
      <w:pPr>
        <w:pStyle w:val="ListParagraph"/>
        <w:spacing w:lineRule="auto" w:line="360" w:before="0" w:after="160"/>
        <w:ind w:start="8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((</w:t>
      </w:r>
      <w:r>
        <w:rPr/>
        <w:t>30.8.21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;  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930/22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31.7.22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30-16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start="84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spacing w:lineRule="auto" w:line="360" w:before="0" w:after="160"/>
        <w:ind w:start="84" w:end="0"/>
        <w:contextualSpacing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 נבארי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31.7.22</w:t>
      </w:r>
      <w:r>
        <w:rPr>
          <w:rtl w:val="true"/>
        </w:rPr>
        <w:t xml:space="preserve">) </w:t>
      </w:r>
      <w:r>
        <w:rPr>
          <w:rtl w:val="true"/>
        </w:rPr>
        <w:t>נדחה ערעור המערער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>שנשא אקדח ומחסנית ריקה מוסלקים ברכבו</w:t>
      </w:r>
      <w:r>
        <w:rPr>
          <w:rtl w:val="true"/>
        </w:rPr>
        <w:t xml:space="preserve">, </w:t>
      </w:r>
      <w:r>
        <w:rPr>
          <w:rtl w:val="true"/>
        </w:rPr>
        <w:t>לאחר שהחזיקם במשך שנה וחצי לפחות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ענישה הנע בין </w:t>
      </w:r>
      <w:r>
        <w:rPr/>
        <w:t>40-18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נדון למאסר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84" w:end="0"/>
        <w:jc w:val="both"/>
        <w:rPr>
          <w:rFonts w:eastAsia="David"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1695/22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(</w:t>
      </w:r>
      <w:r>
        <w:rPr/>
        <w:t>29.3.2022</w:t>
      </w:r>
      <w:r>
        <w:rPr>
          <w:rtl w:val="true"/>
        </w:rPr>
        <w:t xml:space="preserve">). </w:t>
      </w:r>
    </w:p>
    <w:p>
      <w:pPr>
        <w:pStyle w:val="ListNumber"/>
        <w:numPr>
          <w:ilvl w:val="0"/>
          <w:numId w:val="3"/>
        </w:numPr>
        <w:tabs>
          <w:tab w:val="left" w:pos="720" w:leader="none"/>
        </w:tabs>
        <w:spacing w:before="0" w:after="160"/>
        <w:ind w:hanging="283" w:start="84" w:end="0"/>
        <w:jc w:val="both"/>
        <w:rPr>
          <w:b/>
          <w:bCs/>
          <w:u w:val="single"/>
        </w:rPr>
      </w:pPr>
      <w:r>
        <w:rPr>
          <w:rFonts w:eastAsia="David"/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שבחנתי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העבירה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מידת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בערכים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המוגנים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ומדיניות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הנוהגת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ראיתי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מתחם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ענישה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הנע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בין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Cs/>
        </w:rPr>
        <w:t>42-20</w:t>
      </w:r>
      <w:r>
        <w:rPr>
          <w:rFonts w:eastAsia="David"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בפועל</w:t>
      </w:r>
      <w:r>
        <w:rPr>
          <w:rFonts w:eastAsia="David"/>
          <w:rtl w:val="true"/>
        </w:rPr>
        <w:t xml:space="preserve">.  </w:t>
      </w:r>
      <w:r>
        <w:rPr>
          <w:rFonts w:eastAsia="David"/>
          <w:rtl w:val="true"/>
        </w:rPr>
        <w:t>הפסיקה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שאליה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הפנתה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ההגנה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כוללת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ברובה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פסקי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דין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שאינם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מהעת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האחרונה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ואינם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מתיישבים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מגמת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ההחמרה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המשתקפת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בפסיקה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שנסקרה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(</w:t>
      </w:r>
      <w:hyperlink r:id="rId24">
        <w:r>
          <w:rPr>
            <w:rStyle w:val="Hyperlink"/>
            <w:rFonts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/>
            <w:color w:val="0000FF"/>
            <w:u w:val="single"/>
            <w:rtl w:val="true"/>
          </w:rPr>
          <w:t>"</w:t>
        </w:r>
        <w:r>
          <w:rPr>
            <w:rStyle w:val="Hyperlink"/>
            <w:rFonts w:eastAsia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David"/>
            <w:color w:val="0000FF"/>
            <w:u w:val="single"/>
          </w:rPr>
          <w:t>545/20</w:t>
        </w:r>
      </w:hyperlink>
      <w:r>
        <w:rPr>
          <w:rFonts w:eastAsia="David"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פלוני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נ</w:t>
      </w:r>
      <w:r>
        <w:rPr>
          <w:rFonts w:eastAsia="David"/>
          <w:b/>
          <w:bCs/>
          <w:rtl w:val="true"/>
        </w:rPr>
        <w:t xml:space="preserve">' </w:t>
      </w:r>
      <w:r>
        <w:rPr>
          <w:rFonts w:eastAsia="David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ישראל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rtl w:val="true"/>
        </w:rPr>
        <w:t>(</w:t>
      </w:r>
      <w:r>
        <w:rPr>
          <w:rFonts w:eastAsia="David"/>
        </w:rPr>
        <w:t>3.5.2021</w:t>
      </w:r>
      <w:r>
        <w:rPr>
          <w:rFonts w:eastAsia="David"/>
          <w:rtl w:val="true"/>
        </w:rPr>
        <w:t>)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hanging="283" w:start="8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283" w:start="84" w:end="0"/>
        <w:contextualSpacing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 נעדר עבר פלילי</w:t>
      </w:r>
      <w:r>
        <w:rPr>
          <w:rtl w:val="true"/>
        </w:rPr>
        <w:t xml:space="preserve">, </w:t>
      </w:r>
      <w:r>
        <w:rPr>
          <w:rtl w:val="true"/>
        </w:rPr>
        <w:t>בן למשפחה טובה</w:t>
      </w:r>
      <w:r>
        <w:rPr>
          <w:rtl w:val="true"/>
        </w:rPr>
        <w:t xml:space="preserve">. </w:t>
      </w:r>
      <w:r>
        <w:rPr>
          <w:rtl w:val="true"/>
        </w:rPr>
        <w:t>במהלך ההליך דנא</w:t>
      </w:r>
      <w:r>
        <w:rPr>
          <w:rtl w:val="true"/>
        </w:rPr>
        <w:t xml:space="preserve">, </w:t>
      </w:r>
      <w:r>
        <w:rPr>
          <w:rtl w:val="true"/>
        </w:rPr>
        <w:t>מספר חודשים לאחר שהוגש כנגדו כתב אישום ובעודו נתון בתנאים מגבילים</w:t>
      </w:r>
      <w:r>
        <w:rPr>
          <w:rtl w:val="true"/>
        </w:rPr>
        <w:t xml:space="preserve">, </w:t>
      </w:r>
      <w:r>
        <w:rPr>
          <w:rtl w:val="true"/>
        </w:rPr>
        <w:t>נפצע קשה מירי מכוון בחלקו התחתון של גופו וברגליו</w:t>
      </w:r>
      <w:r>
        <w:rPr>
          <w:rtl w:val="true"/>
        </w:rPr>
        <w:t xml:space="preserve">. </w:t>
      </w:r>
      <w:r>
        <w:rPr>
          <w:rtl w:val="true"/>
        </w:rPr>
        <w:t>הנאשם סיפר בתסקירו כי הירי כוון אליו אך לא הרחיב באשר לרקע שעמד מאחוריו ושלל מעורבות בסכסוכים</w:t>
      </w:r>
      <w:r>
        <w:rPr>
          <w:rtl w:val="true"/>
        </w:rPr>
        <w:t xml:space="preserve">. </w:t>
      </w:r>
      <w:r>
        <w:rPr>
          <w:rtl w:val="true"/>
        </w:rPr>
        <w:t xml:space="preserve">בעקבות פציעתו נזקק לטיפולים רפואיים לרבות ניתוח אורולוגי </w:t>
      </w:r>
      <w:r>
        <w:rPr>
          <w:rtl w:val="true"/>
        </w:rPr>
        <w:t>(</w:t>
      </w:r>
      <w:r>
        <w:rPr>
          <w:rtl w:val="true"/>
        </w:rPr>
        <w:t>אסופת מסמכים רפואיים סומנה 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עוד נזקק לטיפול פסיכולוגי בשל מצוקה נפשית</w:t>
      </w:r>
      <w:r>
        <w:rPr>
          <w:rtl w:val="true"/>
        </w:rPr>
        <w:t xml:space="preserve">. </w:t>
      </w:r>
      <w:r>
        <w:rPr>
          <w:rtl w:val="true"/>
        </w:rPr>
        <w:t xml:space="preserve">כעולה ממכתבו של הפסיכולוג המטפל בו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הוא סובל מתסמינים פוסט טראומטיים המתבטאים בין היתר בהסתגרות ממושכת</w:t>
      </w:r>
      <w:r>
        <w:rPr>
          <w:rtl w:val="true"/>
        </w:rPr>
        <w:t xml:space="preserve">, </w:t>
      </w:r>
      <w:r>
        <w:rPr>
          <w:rtl w:val="true"/>
        </w:rPr>
        <w:t>מחשבות שליליות</w:t>
      </w:r>
      <w:r>
        <w:rPr>
          <w:rtl w:val="true"/>
        </w:rPr>
        <w:t xml:space="preserve">, </w:t>
      </w:r>
      <w:r>
        <w:rPr>
          <w:rtl w:val="true"/>
        </w:rPr>
        <w:t>פחדים</w:t>
      </w:r>
      <w:r>
        <w:rPr>
          <w:rtl w:val="true"/>
        </w:rPr>
        <w:t xml:space="preserve">, </w:t>
      </w:r>
      <w:r>
        <w:rPr>
          <w:rtl w:val="true"/>
        </w:rPr>
        <w:t>חרדות</w:t>
      </w:r>
      <w:r>
        <w:rPr>
          <w:rtl w:val="true"/>
        </w:rPr>
        <w:t xml:space="preserve">, </w:t>
      </w:r>
      <w:r>
        <w:rPr>
          <w:rtl w:val="true"/>
        </w:rPr>
        <w:t>ערעור דימויו העצמי</w:t>
      </w:r>
      <w:r>
        <w:rPr>
          <w:rtl w:val="true"/>
        </w:rPr>
        <w:t xml:space="preserve">, </w:t>
      </w:r>
      <w:r>
        <w:rPr>
          <w:rtl w:val="true"/>
        </w:rPr>
        <w:t>והחשש מהשלכות הפציעה שמוביל למתחים מתמשכים בינו לבין ארוסתו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hanging="283" w:start="84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283" w:start="84" w:end="0"/>
        <w:contextualSpacing/>
        <w:jc w:val="both"/>
        <w:rPr/>
      </w:pPr>
      <w:r>
        <w:rPr>
          <w:rtl w:val="true"/>
        </w:rPr>
        <w:t>התמונה המשתקפת בתסקירי שירות המבחן היא אמנם חיובית אך אין מדובר בתסקיר שיקומי</w:t>
      </w:r>
      <w:r>
        <w:rPr>
          <w:rtl w:val="true"/>
        </w:rPr>
        <w:t xml:space="preserve">, </w:t>
      </w:r>
      <w:r>
        <w:rPr>
          <w:rtl w:val="true"/>
        </w:rPr>
        <w:t>הנאשם לא שולב בטיפול ושירות המבחן מתמקד בעיקר בהשלכות פציעתו על היבטי חייו השונים</w:t>
      </w:r>
      <w:r>
        <w:rPr>
          <w:rtl w:val="true"/>
        </w:rPr>
        <w:t xml:space="preserve">. </w:t>
      </w:r>
      <w:r>
        <w:rPr>
          <w:rtl w:val="true"/>
        </w:rPr>
        <w:t>המלצת שירות המבחן להסתפק בענישה טיפולית שיקומית נובעת בעיקר ממורכבות מצבו הפיזי ואינה מבוססת על שיקולי שיקום מהותיים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ind w:hanging="283" w:start="84"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283" w:start="84" w:end="0"/>
        <w:contextualSpacing/>
        <w:jc w:val="both"/>
        <w:rPr/>
      </w:pPr>
      <w:r>
        <w:rPr>
          <w:rtl w:val="true"/>
        </w:rPr>
        <w:t>אכן מצבו הפיזי והנפשי של הנאשם אינו טוב</w:t>
      </w:r>
      <w:r>
        <w:rPr>
          <w:rtl w:val="true"/>
        </w:rPr>
        <w:t xml:space="preserve">, </w:t>
      </w:r>
      <w:r>
        <w:rPr>
          <w:rtl w:val="true"/>
        </w:rPr>
        <w:t>ושליחתו למאסר תפגע במאמציו להשלים את הליכי החלמתו</w:t>
      </w:r>
      <w:r>
        <w:rPr>
          <w:rtl w:val="true"/>
        </w:rPr>
        <w:t xml:space="preserve">, </w:t>
      </w:r>
      <w:r>
        <w:rPr>
          <w:rtl w:val="true"/>
        </w:rPr>
        <w:t>שהייתו במאסר אף תקשה מאד על משפחתו</w:t>
      </w:r>
      <w:r>
        <w:rPr>
          <w:rtl w:val="true"/>
        </w:rPr>
        <w:t xml:space="preserve">, </w:t>
      </w:r>
      <w:r>
        <w:rPr>
          <w:rtl w:val="true"/>
        </w:rPr>
        <w:t>בעיקר על אחותו</w:t>
      </w:r>
      <w:r>
        <w:rPr>
          <w:rtl w:val="true"/>
        </w:rPr>
        <w:t xml:space="preserve">, </w:t>
      </w:r>
      <w:r>
        <w:rPr>
          <w:rtl w:val="true"/>
        </w:rPr>
        <w:t>כפי שעלה מעדותה</w:t>
      </w:r>
      <w:r>
        <w:rPr>
          <w:rtl w:val="true"/>
        </w:rPr>
        <w:t xml:space="preserve">. </w:t>
      </w:r>
      <w:r>
        <w:rPr>
          <w:rtl w:val="true"/>
        </w:rPr>
        <w:t>אלא שעניינו אינו בא בגדר המקרים החריגים שבהם עונש מאסר בפועל עלול לסכן את חייו או לקצרם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tl w:val="true"/>
        </w:rPr>
        <w:t xml:space="preserve">, </w:t>
      </w:r>
      <w:r>
        <w:rPr>
          <w:rtl w:val="true"/>
        </w:rPr>
        <w:t>בצורה ניכרת</w:t>
      </w:r>
      <w:r>
        <w:rPr>
          <w:rtl w:val="true"/>
        </w:rPr>
        <w:t xml:space="preserve">, </w:t>
      </w:r>
      <w:r>
        <w:rPr>
          <w:rtl w:val="true"/>
        </w:rPr>
        <w:t xml:space="preserve">ושבהם רשאי בית המשפט מטעמי צדק לחרוג ממתחם הענישה ההולם חריגה משמעותית </w:t>
      </w:r>
      <w:r>
        <w:rPr>
          <w:rtl w:val="true"/>
        </w:rPr>
        <w:t>)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hyperlink r:id="rId25">
        <w:r>
          <w:rPr>
            <w:rStyle w:val="Hyperlink"/>
            <w:color w:val="0000FF"/>
            <w:u w:val="single"/>
          </w:rPr>
          <w:t>4456/14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קלנר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221</w:t>
      </w:r>
      <w:r>
        <w:rPr>
          <w:rtl w:val="true"/>
        </w:rPr>
        <w:t xml:space="preserve"> </w:t>
      </w:r>
      <w:r>
        <w:rPr>
          <w:rtl w:val="true"/>
        </w:rPr>
        <w:t>לפסק דינו של המשנה לנשיאה כב</w:t>
      </w:r>
      <w:r>
        <w:rPr>
          <w:rtl w:val="true"/>
        </w:rPr>
        <w:t xml:space="preserve">' </w:t>
      </w:r>
      <w:r>
        <w:rPr>
          <w:rtl w:val="true"/>
        </w:rPr>
        <w:t xml:space="preserve">השופט פוגלמן </w:t>
      </w:r>
      <w:r>
        <w:rPr>
          <w:rtl w:val="true"/>
        </w:rPr>
        <w:t>(</w:t>
      </w:r>
      <w:r>
        <w:rPr/>
        <w:t>29.12.15</w:t>
      </w:r>
      <w:r>
        <w:rPr>
          <w:rtl w:val="true"/>
        </w:rPr>
        <w:t xml:space="preserve">)). </w:t>
      </w:r>
      <w:r>
        <w:rPr>
          <w:rtl w:val="true"/>
        </w:rPr>
        <w:t>כפי שהודגש ע</w:t>
      </w:r>
      <w:r>
        <w:rPr>
          <w:rtl w:val="true"/>
        </w:rPr>
        <w:t>"</w:t>
      </w:r>
      <w:r>
        <w:rPr>
          <w:rtl w:val="true"/>
        </w:rPr>
        <w:t>י בית המשפט העליון 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5669/14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לופליאנסקי 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פסקאות </w:t>
      </w:r>
      <w:r>
        <w:rPr/>
        <w:t>221-223</w:t>
      </w:r>
      <w:r>
        <w:rPr>
          <w:rtl w:val="true"/>
        </w:rPr>
        <w:t>, (</w:t>
      </w:r>
      <w:r>
        <w:rPr/>
        <w:t>29.12.2015</w:t>
      </w:r>
      <w:r>
        <w:rPr>
          <w:rtl w:val="true"/>
        </w:rPr>
        <w:t xml:space="preserve">): </w:t>
      </w:r>
    </w:p>
    <w:p>
      <w:pPr>
        <w:pStyle w:val="Ruller42"/>
        <w:ind w:hanging="283" w:start="84"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5"/>
        <w:spacing w:lineRule="auto" w:line="360"/>
        <w:ind w:start="720" w:end="1282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גם נאשם החולה במחלה קשה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כזה שהמאסר יסב לו סבל רב וייחודי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עלול להישלח לשאת בעונש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מאחורי סורג ובריח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הדברים נכונים גם כאשר עסקינן במי שמצבו הבריאותי רעוע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כבר נפסק כי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מצב בריאותי קשה – איננו צריך בהכרח להקנות לעבריין פטור מעונש מאסר בפועל בגין מעשיו הרעים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ככל שעונש זה מוצדק לגביו לאחר הרשעתו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כאשר עסקינן במצב רפואי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ככלל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הנחת המוצא היא כי גורמי הרפואה בשירות בתי הסוהר ערוכים לטפל באסירים במצבים רפואיים שונים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כולל כאלה שאינם פשוטים כלל ועיקר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את מצבו הרפואי של מי שהורשע בדין יש לאזן עם שיקולים רלוונטיים אחרים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ובכלל אלה הסיכון שנשקף לציבור ממנו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אין אפוא בדברינו אלה משום קביעת כלל שלפיו טענה לקיצור תוחלת חיים נושאת בצידה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מניה וביה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חסינות מפני עונש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>"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 w:val="24"/>
          <w:szCs w:val="24"/>
        </w:rPr>
        <w:t>222</w:t>
      </w:r>
      <w:r>
        <w:rPr>
          <w:rFonts w:cs="David" w:ascii="David" w:hAnsi="David"/>
          <w:b/>
          <w:bCs/>
          <w:sz w:val="24"/>
          <w:szCs w:val="24"/>
          <w:rtl w:val="true"/>
        </w:rPr>
        <w:t>).</w:t>
      </w:r>
    </w:p>
    <w:p>
      <w:pPr>
        <w:pStyle w:val="Ruller5"/>
        <w:spacing w:lineRule="auto" w:line="360"/>
        <w:ind w:start="84" w:end="1282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Ruller5"/>
        <w:spacing w:lineRule="auto" w:line="360"/>
        <w:ind w:start="84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גם בפסיקות נוספות שנדונו בהן מקרי מצב רפואי קשה וחמור משמעותית מזה שלפנינו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היה בכך כדי להביא לקיצור תקופת המאסר או ביטולו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ראו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לשם הדוגמא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2770/19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זוהר כץ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3.5.2020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הורשע נאשם בעבירות כלכליות שונות ונדון למאסר בן 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מתן גזר הדין החמיר מצבו הרפואי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לקה בהתקף לב ונזקק להשתלת לב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הוגשו בעניינו חוות דעת רפואיות לפיהן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לא ישרוד בתנאי הכלא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דחה את הערעור תוך שהוא מציין כי המערער יוכל לקבל טיפול נאות 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 שב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Ruller42"/>
        <w:spacing w:before="0" w:after="120"/>
        <w:ind w:start="84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283" w:start="84" w:end="0"/>
        <w:contextualSpacing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 הוצגה כלל חוות דעת רפואית המעלה חשש ששליחתו של הנאשם למאסר תפגע בו פגיעה בלתי הפיכה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הנאשם הורשע בביצוע עבירה חמורה ופציעתו קשורה בקשר ישיר למעורבותו בעולם הנשק הבלתי חוקי</w:t>
      </w:r>
      <w:r>
        <w:rPr>
          <w:rtl w:val="true"/>
        </w:rPr>
        <w:t xml:space="preserve">. </w:t>
      </w:r>
      <w:r>
        <w:rPr>
          <w:rtl w:val="true"/>
        </w:rPr>
        <w:t>הנאשם ייזקק לטיפול רפואי ונפשי בתקופת מאסרו וחזקה על  רשויות שירות בתי הסוהר שידעו ליתן מענה רפואי הולם לצרכיו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hanging="283" w:start="84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283" w:start="84" w:end="0"/>
        <w:contextualSpacing/>
        <w:jc w:val="both"/>
        <w:rPr/>
      </w:pPr>
      <w:r>
        <w:rPr>
          <w:rtl w:val="true"/>
        </w:rPr>
        <w:t>במצב האמור</w:t>
      </w:r>
      <w:r>
        <w:rPr>
          <w:rtl w:val="true"/>
        </w:rPr>
        <w:t xml:space="preserve">, </w:t>
      </w:r>
      <w:r>
        <w:rPr>
          <w:rtl w:val="true"/>
        </w:rPr>
        <w:t>וכמצוות בית המשפט העליון</w:t>
      </w:r>
      <w:r>
        <w:rPr>
          <w:rtl w:val="true"/>
        </w:rPr>
        <w:t xml:space="preserve">, </w:t>
      </w:r>
      <w:r>
        <w:rPr>
          <w:rtl w:val="true"/>
        </w:rPr>
        <w:t>שומה עלינו ליתן משקל בכורה לאינטרס הציבורי על פני נתוניו האישיים של הנאשם</w:t>
      </w:r>
      <w:r>
        <w:rPr>
          <w:rtl w:val="true"/>
        </w:rPr>
        <w:t xml:space="preserve">, </w:t>
      </w:r>
      <w:r>
        <w:rPr>
          <w:rtl w:val="true"/>
        </w:rPr>
        <w:t>ומשכך אין מנוס מהשתת עונש מאסר בפועל</w:t>
      </w:r>
      <w:r>
        <w:rPr>
          <w:rtl w:val="true"/>
        </w:rPr>
        <w:t xml:space="preserve">. </w:t>
      </w:r>
      <w:r>
        <w:rPr>
          <w:rtl w:val="true"/>
        </w:rPr>
        <w:t>המלצת שירות המבחן להסתפק בעבודות של</w:t>
      </w:r>
      <w:r>
        <w:rPr>
          <w:rtl w:val="true"/>
        </w:rPr>
        <w:t>"</w:t>
      </w:r>
      <w:r>
        <w:rPr>
          <w:rtl w:val="true"/>
        </w:rPr>
        <w:t>צ אינה מתיישבת עם מדיניות הענישה הנוהגת בעבירות הנשק</w:t>
      </w:r>
      <w:r>
        <w:rPr>
          <w:rtl w:val="true"/>
        </w:rPr>
        <w:t xml:space="preserve">, </w:t>
      </w:r>
      <w:r>
        <w:rPr>
          <w:rtl w:val="true"/>
        </w:rPr>
        <w:t>וכידוע</w:t>
      </w:r>
      <w:r>
        <w:rPr>
          <w:rtl w:val="true"/>
        </w:rPr>
        <w:t xml:space="preserve">, </w:t>
      </w:r>
      <w:r>
        <w:rPr>
          <w:rtl w:val="true"/>
        </w:rPr>
        <w:t xml:space="preserve">אינה מחייבת את בית המשפט וביכולתו לסטות ממנה מטעמים מוצדקים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2260/22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18.7.22</w:t>
      </w:r>
      <w:r>
        <w:rPr>
          <w:rtl w:val="true"/>
        </w:rPr>
        <w:t xml:space="preserve">)). </w:t>
      </w:r>
      <w:r>
        <w:rPr>
          <w:rtl w:val="true"/>
        </w:rPr>
        <w:t>לולא מצבו הרפואי היה ראוי למקמו בחלק התחתון של המתחם אך לא בתחתיתו</w:t>
      </w:r>
      <w:r>
        <w:rPr>
          <w:rtl w:val="true"/>
        </w:rPr>
        <w:t xml:space="preserve">. </w:t>
      </w:r>
      <w:r>
        <w:rPr>
          <w:rtl w:val="true"/>
        </w:rPr>
        <w:t>אתחשב במורכבות מצבו והשלכות המאסר עליו ועל משפחתו ואמקמו בתחתית המתחם</w:t>
      </w:r>
      <w:r>
        <w:rPr>
          <w:rtl w:val="true"/>
        </w:rPr>
        <w:t xml:space="preserve">. </w:t>
      </w:r>
      <w:r>
        <w:rPr>
          <w:rtl w:val="true"/>
        </w:rPr>
        <w:t>עוד אתן לו ולמשפחתו שהות להתארגן לכניסתו למאסר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283" w:start="84" w:end="0"/>
        <w:contextualSpacing/>
        <w:jc w:val="both"/>
        <w:rPr/>
      </w:pPr>
      <w:r>
        <w:rPr>
          <w:b/>
          <w:b/>
          <w:bCs/>
          <w:rtl w:val="true"/>
        </w:rPr>
        <w:t>אני גוזרת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אפוא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על הנאשם את העונשים הבאים</w:t>
      </w:r>
      <w:r>
        <w:rPr>
          <w:b/>
          <w:bCs/>
          <w:rtl w:val="true"/>
        </w:rPr>
        <w:t>:</w:t>
      </w:r>
    </w:p>
    <w:p>
      <w:pPr>
        <w:pStyle w:val="ListParagraph"/>
        <w:ind w:start="84"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0" w:start="84" w:end="0"/>
        <w:contextualSpacing/>
        <w:jc w:val="both"/>
        <w:rPr/>
      </w:pP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 בניכוי ימי מעצרו </w:t>
      </w:r>
      <w:r>
        <w:rPr/>
        <w:t>27.5.21-20.7.21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567" w:start="651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הנאשם עבירת נשק מסוג פשע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 שחרורו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0" w:start="84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בשני תשלומים החל מיום </w:t>
      </w:r>
      <w:r>
        <w:rPr/>
        <w:t>3.4.23</w:t>
      </w:r>
      <w:r>
        <w:rPr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0" w:start="84" w:end="0"/>
        <w:contextualSpacing/>
        <w:jc w:val="both"/>
        <w:rPr/>
      </w:pPr>
      <w:r>
        <w:rPr>
          <w:rtl w:val="true"/>
        </w:rPr>
        <w:t xml:space="preserve">הנאשם יתייצב לריצוי מאסרו ביום </w:t>
      </w:r>
      <w:r>
        <w:rPr/>
        <w:t>1.5.23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 xml:space="preserve">בבית מעצר </w:t>
      </w:r>
      <w:r>
        <w:rPr>
          <w:rtl w:val="true"/>
        </w:rPr>
        <w:t>"</w:t>
      </w:r>
      <w:r>
        <w:rPr>
          <w:rtl w:val="true"/>
        </w:rPr>
        <w:t>הדרים</w:t>
      </w:r>
      <w:r>
        <w:rPr>
          <w:rtl w:val="true"/>
        </w:rPr>
        <w:t xml:space="preserve">". </w:t>
      </w:r>
    </w:p>
    <w:p>
      <w:pPr>
        <w:pStyle w:val="ListParagraph"/>
        <w:spacing w:lineRule="auto" w:line="360" w:before="0" w:after="160"/>
        <w:ind w:start="84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לצורך הבטחת התייצבותו יעמדו הערבויות שהופקדו בהליך המעצר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צו עיכוב יציאה מהארץ יוותר על כנו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ההפקדות יושבו למפקיד לאחר כניסתו למאסר</w:t>
      </w:r>
      <w:r>
        <w:rPr>
          <w:b/>
          <w:bCs/>
          <w:rtl w:val="true"/>
        </w:rPr>
        <w:t>.</w:t>
      </w:r>
    </w:p>
    <w:p>
      <w:pPr>
        <w:pStyle w:val="ListParagraph"/>
        <w:spacing w:lineRule="auto" w:line="360" w:before="0" w:after="160"/>
        <w:ind w:start="84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 w:before="0" w:after="160"/>
        <w:ind w:start="84" w:end="0"/>
        <w:contextualSpacing/>
        <w:jc w:val="both"/>
        <w:rPr/>
      </w:pPr>
      <w:r>
        <w:rPr>
          <w:rtl w:val="true"/>
        </w:rPr>
        <w:t>צו כללי למוצגים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b/>
          <w:bCs/>
        </w:rPr>
      </w:pPr>
      <w:r>
        <w:rPr>
          <w:b/>
          <w:b/>
          <w:bCs/>
          <w:rtl w:val="true"/>
        </w:rPr>
        <w:t>עותק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מהחלטתי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Ruller42"/>
        <w:ind w:start="84" w:end="0"/>
        <w:jc w:val="both"/>
        <w:textAlignment w:val="baseline"/>
        <w:rPr>
          <w:rFonts w:ascii="Times New Roman" w:hAnsi="Times New Roman" w:cs="David"/>
          <w:b/>
          <w:bCs/>
          <w:spacing w:val="0"/>
          <w:sz w:val="24"/>
          <w:szCs w:val="24"/>
        </w:rPr>
      </w:pP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</w:r>
    </w:p>
    <w:p>
      <w:pPr>
        <w:pStyle w:val="Ruller42"/>
        <w:ind w:start="84" w:end="0"/>
        <w:jc w:val="both"/>
        <w:textAlignment w:val="baseline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84" w:end="0"/>
        <w:jc w:val="both"/>
        <w:rPr>
          <w:rFonts w:ascii="David" w:hAnsi="David" w:eastAsia="David" w:cs="David"/>
          <w:spacing w:val="0"/>
          <w:sz w:val="24"/>
          <w:szCs w:val="24"/>
        </w:rPr>
      </w:pPr>
      <w:r>
        <w:rPr>
          <w:rFonts w:eastAsia="David" w:cs="David" w:ascii="David" w:hAnsi="David"/>
          <w:spacing w:val="0"/>
          <w:sz w:val="24"/>
          <w:szCs w:val="24"/>
          <w:rtl w:val="true"/>
        </w:rPr>
      </w:r>
    </w:p>
    <w:p>
      <w:pPr>
        <w:pStyle w:val="Ruller42"/>
        <w:ind w:start="84" w:end="0"/>
        <w:jc w:val="both"/>
        <w:textAlignment w:val="baseline"/>
        <w:rPr>
          <w:rFonts w:ascii="Times New Roman" w:hAnsi="Times New Roman" w:cs="David"/>
          <w:color w:val="FFFFFF"/>
          <w:spacing w:val="0"/>
          <w:sz w:val="2"/>
          <w:szCs w:val="2"/>
        </w:rPr>
      </w:pPr>
      <w:r>
        <w:rPr>
          <w:rFonts w:cs="David" w:ascii="Times New Roman" w:hAnsi="Times New Roman"/>
          <w:color w:val="FFFFFF"/>
          <w:spacing w:val="0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30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1178-06-21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נאדים מסארוה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1494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4z0">
    <w:name w:val="WW8Num4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Ruller42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7734980" TargetMode="External"/><Relationship Id="rId7" Type="http://schemas.openxmlformats.org/officeDocument/2006/relationships/hyperlink" Target="http://www.nevo.co.il/case/27305799" TargetMode="External"/><Relationship Id="rId8" Type="http://schemas.openxmlformats.org/officeDocument/2006/relationships/hyperlink" Target="http://www.nevo.co.il/case/28268880" TargetMode="External"/><Relationship Id="rId9" Type="http://schemas.openxmlformats.org/officeDocument/2006/relationships/hyperlink" Target="http://www.nevo.co.il/case/28513828" TargetMode="External"/><Relationship Id="rId10" Type="http://schemas.openxmlformats.org/officeDocument/2006/relationships/hyperlink" Target="http://www.nevo.co.il/case/27894608" TargetMode="External"/><Relationship Id="rId11" Type="http://schemas.openxmlformats.org/officeDocument/2006/relationships/hyperlink" Target="http://www.nevo.co.il/case/27911638" TargetMode="External"/><Relationship Id="rId12" Type="http://schemas.openxmlformats.org/officeDocument/2006/relationships/hyperlink" Target="http://www.nevo.co.il/case/28152132" TargetMode="External"/><Relationship Id="rId13" Type="http://schemas.openxmlformats.org/officeDocument/2006/relationships/hyperlink" Target="http://www.nevo.co.il/case/28452933" TargetMode="External"/><Relationship Id="rId14" Type="http://schemas.openxmlformats.org/officeDocument/2006/relationships/hyperlink" Target="http://www.nevo.co.il/case/27305799" TargetMode="External"/><Relationship Id="rId15" Type="http://schemas.openxmlformats.org/officeDocument/2006/relationships/hyperlink" Target="http://www.nevo.co.il/case/27499246" TargetMode="External"/><Relationship Id="rId16" Type="http://schemas.openxmlformats.org/officeDocument/2006/relationships/hyperlink" Target="http://www.nevo.co.il/case/28229995" TargetMode="External"/><Relationship Id="rId17" Type="http://schemas.openxmlformats.org/officeDocument/2006/relationships/hyperlink" Target="http://www.nevo.co.il/case/28384637" TargetMode="External"/><Relationship Id="rId18" Type="http://schemas.openxmlformats.org/officeDocument/2006/relationships/hyperlink" Target="http://www.nevo.co.il/case/28883087" TargetMode="External"/><Relationship Id="rId19" Type="http://schemas.openxmlformats.org/officeDocument/2006/relationships/hyperlink" Target="http://www.nevo.co.il/case/27911655" TargetMode="External"/><Relationship Id="rId20" Type="http://schemas.openxmlformats.org/officeDocument/2006/relationships/hyperlink" Target="http://www.nevo.co.il/case/27494821" TargetMode="External"/><Relationship Id="rId21" Type="http://schemas.openxmlformats.org/officeDocument/2006/relationships/hyperlink" Target="http://www.nevo.co.il/case/28300349" TargetMode="External"/><Relationship Id="rId22" Type="http://schemas.openxmlformats.org/officeDocument/2006/relationships/hyperlink" Target="http://www.nevo.co.il/case/28452933" TargetMode="External"/><Relationship Id="rId23" Type="http://schemas.openxmlformats.org/officeDocument/2006/relationships/hyperlink" Target="http://www.nevo.co.il/case/28384637" TargetMode="External"/><Relationship Id="rId24" Type="http://schemas.openxmlformats.org/officeDocument/2006/relationships/hyperlink" Target="http://www.nevo.co.il/case/26383419" TargetMode="External"/><Relationship Id="rId25" Type="http://schemas.openxmlformats.org/officeDocument/2006/relationships/hyperlink" Target="http://www.nevo.co.il/case/17015235" TargetMode="External"/><Relationship Id="rId26" Type="http://schemas.openxmlformats.org/officeDocument/2006/relationships/hyperlink" Target="http://www.nevo.co.il/case/17954217" TargetMode="External"/><Relationship Id="rId27" Type="http://schemas.openxmlformats.org/officeDocument/2006/relationships/hyperlink" Target="http://www.nevo.co.il/case/25633308" TargetMode="External"/><Relationship Id="rId28" Type="http://schemas.openxmlformats.org/officeDocument/2006/relationships/hyperlink" Target="http://www.nevo.co.il/case/28452957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2024-05-05T08:21:00Z</dcterms:created>
  <dc:creator> </dc:creator>
  <dc:description/>
  <cp:keywords/>
  <dc:language>en-IL</dc:language>
  <cp:lastModifiedBy>h1</cp:lastModifiedBy>
  <dcterms:modified xsi:type="dcterms:W3CDTF">2024-05-05T08:21:00Z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נאדים מסארוה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27734980;27305799:2;28268880;28513828;27894608;27911638;28152132;28452933:2;27499246;28229995;28384637:2;28883087;27911655;27494821;28300349;26383419;17015235;17954217;25633308;28452957</vt:lpwstr>
  </property>
  <property fmtid="{D5CDD505-2E9C-101B-9397-08002B2CF9AE}" pid="9" name="CITY">
    <vt:lpwstr>מרכז</vt:lpwstr>
  </property>
  <property fmtid="{D5CDD505-2E9C-101B-9397-08002B2CF9AE}" pid="10" name="DATE">
    <vt:lpwstr>20230130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70301/144.b</vt:lpwstr>
  </property>
  <property fmtid="{D5CDD505-2E9C-101B-9397-08002B2CF9AE}" pid="15" name="LAWYER">
    <vt:lpwstr>ליטל שירי;בר עוז ובראנסי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1178</vt:lpwstr>
  </property>
  <property fmtid="{D5CDD505-2E9C-101B-9397-08002B2CF9AE}" pid="22" name="NEWPARTB">
    <vt:lpwstr>06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390020230130</vt:lpwstr>
  </property>
  <property fmtid="{D5CDD505-2E9C-101B-9397-08002B2CF9AE}" pid="34" name="TYPE_N_DATE">
    <vt:lpwstr>39020230130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