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11789-12-16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חגית מאק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מאזן 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אבר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מוחמד מסודה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rtl w:val="true"/>
              </w:rPr>
              <w:t>נאשמים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עותמאן</w:t>
            </w:r>
            <w:r>
              <w:rPr>
                <w:b/>
                <w:bCs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יוסף סקאפי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זחאלקה</w:t>
            </w:r>
            <w:r>
              <w:rPr>
                <w:b/>
                <w:bCs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סעיד אבו נאב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ואסים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דראושה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418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האישומים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)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הסוכן</w:t>
      </w:r>
      <w:r>
        <w:rPr>
          <w:rtl w:val="true"/>
        </w:rPr>
        <w:t xml:space="preserve">),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bookmarkStart w:id="9" w:name="ABSTRACT_END"/>
      <w:bookmarkEnd w:id="9"/>
      <w:r>
        <w:rPr>
          <w:rtl w:val="true"/>
        </w:rPr>
        <w:t>מתוקנים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פתוחים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16.10.17</w:t>
      </w:r>
      <w:r>
        <w:rPr>
          <w:rtl w:val="true"/>
        </w:rPr>
        <w:t xml:space="preserve">,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16.10.17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20.12.17</w:t>
      </w:r>
      <w:r>
        <w:rPr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18.4.16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9.5.16</w:t>
      </w:r>
      <w:r>
        <w:rPr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לעשן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תיאם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94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tl w:val="true"/>
        </w:rPr>
        <w:t xml:space="preserve">,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18.5.16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הקרלו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11.10.16</w:t>
      </w:r>
      <w:r>
        <w:rPr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11.10.16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בים</w:t>
      </w:r>
      <w:r>
        <w:rPr>
          <w:rFonts w:cs="Times New Roman"/>
          <w:rtl w:val="true"/>
        </w:rPr>
        <w:t xml:space="preserve"> </w:t>
      </w:r>
      <w:r>
        <w:rPr/>
        <w:t>13.10.16</w:t>
      </w:r>
      <w:r>
        <w:rPr>
          <w:rtl w:val="true"/>
        </w:rPr>
        <w:t xml:space="preserve"> </w:t>
      </w:r>
      <w:r>
        <w:rPr>
          <w:rtl w:val="true"/>
        </w:rPr>
        <w:t>ושוחחו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18.10.16</w:t>
      </w:r>
      <w:r>
        <w:rPr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20.10.16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חיזמא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כאישום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19.11.16</w:t>
      </w:r>
      <w:r>
        <w:rPr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מעוקר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/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31.7.16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מתאמפיתמינים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3.8.16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וכשהמחיר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9.8.16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לטענתן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הקלאסי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ומסוכנים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בקצהו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והמקום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מתממש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וישנים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tl w:val="true"/>
        </w:rPr>
        <w:t xml:space="preserve">, </w:t>
      </w:r>
      <w:r>
        <w:rPr>
          <w:rtl w:val="true"/>
        </w:rPr>
        <w:t>ננטש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והרימון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מעוקר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,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והמפגשים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סקאפי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u w:val="single"/>
          <w:rtl w:val="true"/>
        </w:rPr>
        <w:t>מתחם יחיד או ריבוי מתחמים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הצדדים נחלקו בשאלה אם יש לקבוע מתחם נפרד לכל אישום או מתחם אחד לאישומים השונים המיוחסים לכל אחד מהנאשמים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מדובר במכירה לאותו סוכן וקיימת זהות בין המעורבים באישומים השונים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ביצעו מספר עסקאות שכל אחת מהן עומדת בפני עצמה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אחת מהעסקאות נמכר נשק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פער זמנים ניכר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כדי מספר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העסקאות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עסקת נשק קדם משא ומתן בו סוכמו התנאים השונים ואין מדובר במצב בו אחת העסקאות היא תוצאה ישירה של האחרת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בנסיבות אלה אני סבורה שעל פי הכללים שנקבעו בפסק הדין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4910/13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אחמד בני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29.10.14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ובפסיקה שבעקבותיו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מתחם נפרד לכל אחד מהאישומים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קביעת מתחמים לכל אחד מהאישומים אין משמעה בהכרח שהמתחמים שייקבעו נדרשים להיות שונים זה מזה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להבנתי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לכך התכוון המחוקק בתיקון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בשונה מעונש קונקרטי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נדרש להיות מותאם לטווח של 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לקשת של אפשרויות המצויות בתוך ספקטרום מסויים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 דוקא לנסיבות ספציפיות ביותר המאפיינות כל מקרה ומקרה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סבורה שיש להימנע ממצב בו נקבעים בפרשה אחת מספר גדול של מתחמים שההבדלים ביניהם קטנים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מצאתי הגיון בגישה לפיה באישומים מסויימים התבקש מתחם שבין שלוש לשבע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ובאחרים מתחם שבין ארבע לשבע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קביעת מספר כה גדול של מתחמים שההבדלים ביניהם קטנים חוטאת למטרה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ועלולה להפוך את מלאכת הענישה לבוכלטריה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מה גם שבסופו של יום ממילא ביקשה המאשימה לגזור על הנאשמים עונשים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גלובאליים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שאינם נגזרים מצירוף דווקני של המתחמים הנטענים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אני סבורה שהדרך הנכונה המשרתת את המטרה של הבניית הענישה היא קביעת מתחם לעבירה העיקרית נשוא תיק זה – עבירה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המתחם מתייחס לעבירה המושלמת והמלאה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עבירה של מכירת כלי נשק תקין המסוגל לירות תמורת סכום של עשרות אלפי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ממתחם זה ייגזרו המתחמים לעבירות החמורות פחות שבוצעו בחלק מהאישומים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לעבירות של עסקה או תיווך שלא הגיעו לגדר סחר בנשק יהיה המתחם נמוך יותר ויעמוד על כשלושה רבעים מהמתחם שייקבע לעבירה העיקרית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לעבירות החמורות פחות של נשיאת נשק או קשירת קשר לביצוע פשע אשר לא הגיעו לכדי עסקה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יעמוד המתחם על כמחצית המתחם שייקבע לעבירה המושלמת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במקרים בהם סוג הנשק חורג שונה משמעותית מהאמור לעיל ניתן להביא בחשבון גם עובדה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לעבירות הסמים ייקבע מתחם 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העבירה נשוא אישום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בכתב האישום נגד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אינה עבירה בנשק שכן המוכרים ידעו שאינם מוכרים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המתחמים שייקבעו לעבירות הנשק אינם תקפים לגביה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שיקולים בקביעת המתחם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צורך להכביר מילים אודות חומרתן של עבירות נשק והסכנה הרבה הנשקפת מהן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הסחר בנשק עלול להביא להימצאותו של נשק בידי גורמים המעוניינים לעשות בו שימוש אסור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ולגרום לסיכון ממשי של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שהסיכון בטחוני ובין שהוא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העובדה שמאן דהוא מוכן לשלם סכומי כסף גדולים עבור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מעידה על נכונות ואף כוונה לעשות בו שימוש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בפרשה זו עסקו בסחר ובעסקאות בכלי נשק מסוגים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הרובים והאקדחים התקניים הם כלי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נשק חם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תקניים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שהסכנה הנשקפת מהם ברורה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הנשק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הוא נשק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בלתי מסומן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האפשרות לייצר נשק כזה וחוסר האפשרות להתחקות אחריו בשל העדר סימון מקל על המבקשים לעשות בו שימוש ומקים חומרה מיוחדת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נפסק לא אחת כי הסכנה הרבה שבשימוש בנשק מחייבת ענישה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לדוגמא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</w:t>
      </w:r>
      <w:r>
        <w:rPr>
          <w:rFonts w:ascii="Arial" w:hAnsi="Arial" w:cs="Arial"/>
          <w:rtl w:val="true"/>
        </w:rPr>
        <w:t>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4154/16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רונן דהוד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19.1.17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 w:before="0" w:after="240"/>
        <w:ind w:start="720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בפסיקתנו נקבע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 אחת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יש לראות את תופעת הסחר הבלתי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חוקי בנשק בחומרה רבה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נפסק כי לא ניתן להשלים עם קיומו של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שוק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מחתרתי בלתי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חוקי למכירת כלי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וגדיעתו היא תנאי הכרחי למיגורם של מעשי אלימות חמורים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המתרחשים במקומותינו בתדירות מדאיגה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אלה מתאפשרים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בשל הימצאותם של כלי נשק בידי עבריינים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ראו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6542/11</w:t>
        </w:r>
      </w:hyperlink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מוקטראן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פיסקה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25.02.2013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הדבר חמור שבעתיים במציאות הישראלית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שבה נשק המוחזק באופן בלתי חוקי עלול להגיע אף לידי מעורבים בפעילות חבלנית עוינת על רקע ביטחוני 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ואכן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המגמה בשנים האחרונות לגבי עבירות נשק היא של החמרה ברמת ענישתם של המעורבים בהן ומתן ביטוי עונשי ההולם את הסכנה הנשקפת מהם</w:t>
      </w:r>
      <w:r>
        <w:rPr>
          <w:rFonts w:cs="Arial" w:ascii="Arial" w:hAnsi="Arial"/>
          <w:b/>
          <w:bCs/>
          <w:rtl w:val="true"/>
        </w:rPr>
        <w:t>..."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9543/09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בילאל רחאל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19.1.10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720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צורך להכביר מלים על הקלות הבלתי נסבלת שבה סובב נשק חם או קר על נגזרותיו בידיים עברייניות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פעמים שהנשק נוטל חיי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פעמים הוא פוגע בגוף האדם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ופעמים מתמזל המזל ובסייעתא דשמיא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פגיעה גופנית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הצד השווה הוא תדיר הפוטנציאל ההרסני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והבעתה האוחזת את הקרבנות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בכגון דא – לצד עבירת הנשק נקבע עונש של 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ובסיוע כבענייננו – מחצית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Arial" w:hAnsi="Arial" w:cs="Arial"/>
          <w:rtl w:val="true"/>
        </w:rPr>
        <w:t>וב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761/07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מיכאל אדרי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22.2.07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240"/>
        <w:ind w:start="720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ולעתים נעשה בו שימוש למטרות פליליות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ואלה גם אלה כבר גרמו לא אחת לאובדן חיי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ולפגיעה בחפים מפשע שכל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חטאם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נבע מכך שהם נקלעו בדרך מקרה לזירת הפשע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כדי להילחם בכל אלה צריך העונש לבטא את סלידתה של החברה ודעתה הנחרצת שלא להשלים עם עבריינות בכלל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ומסוג זה בפרט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: </w:t>
      </w:r>
    </w:p>
    <w:p>
      <w:pPr>
        <w:pStyle w:val="Style15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שוק</w:t>
      </w:r>
      <w:r>
        <w:rPr>
          <w:rtl w:val="true"/>
        </w:rPr>
        <w:t xml:space="preserve">" </w:t>
      </w:r>
      <w:r>
        <w:rPr>
          <w:rtl w:val="true"/>
        </w:rPr>
        <w:t>מחתרתי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וגדיעתו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Style15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785/15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איהאב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פואקה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6.12.15</w:t>
      </w:r>
      <w:r>
        <w:rPr>
          <w:b/>
          <w:bCs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ובעסקה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Style15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8280/15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ולאני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28.3.16</w:t>
      </w:r>
      <w:r>
        <w:rPr>
          <w:b/>
          <w:bCs/>
          <w:rtl w:val="true"/>
        </w:rPr>
        <w:t xml:space="preserve">)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Style15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21.12.14</w:t>
      </w:r>
      <w:r>
        <w:rPr>
          <w:b/>
          <w:bCs/>
          <w:rtl w:val="true"/>
        </w:rPr>
        <w:t>) -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24215-06-13</w:t>
        </w:r>
      </w:hyperlink>
      <w:r>
        <w:rPr>
          <w:rtl w:val="true"/>
        </w:rPr>
        <w:t xml:space="preserve"> </w:t>
      </w:r>
      <w:r>
        <w:rPr>
          <w:rtl w:val="true"/>
        </w:rPr>
        <w:t>שנזכר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1768/14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22.7.14</w:t>
      </w:r>
      <w:r>
        <w:rPr>
          <w:b/>
          <w:bCs/>
          <w:rtl w:val="true"/>
        </w:rPr>
        <w:t xml:space="preserve">) </w:t>
      </w:r>
      <w:r>
        <w:rPr>
          <w:b/>
          <w:bCs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Style15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526/14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2.3.14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4.12.14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</w:t>
      </w:r>
      <w:r>
        <w:rPr>
          <w:rtl w:val="true"/>
        </w:rPr>
        <w:t>ש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1094-05-15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30.5.16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Style15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12493-11-15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נתנאל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24.4.17</w:t>
      </w:r>
      <w:r>
        <w:rPr>
          <w:b/>
          <w:bCs/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ושיבש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ועונשיםנוספים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24215-06-13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דוידאר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17.2.14</w:t>
      </w:r>
      <w:r>
        <w:rPr>
          <w:b/>
          <w:bCs/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67703-11-16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הלפרין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דנתי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ולעבירת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בפשיעה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מידור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וחשאיות</w:t>
      </w:r>
      <w:r>
        <w:rPr>
          <w:rtl w:val="true"/>
        </w:rPr>
        <w:t xml:space="preserve">.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.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ואישום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במקרה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בביקורת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.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שיקומיות</w:t>
      </w:r>
      <w:r>
        <w:rPr>
          <w:rtl w:val="true"/>
        </w:rPr>
        <w:t xml:space="preserve">.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1.2.18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1.2.18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1.2.18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1.2.18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זכות ערעור לבית המשפט העליון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11789-12-16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מאזן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18" TargetMode="External"/><Relationship Id="rId6" Type="http://schemas.openxmlformats.org/officeDocument/2006/relationships/hyperlink" Target="http://www.nevo.co.il/law/70301/499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4216/13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418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4216/13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499" TargetMode="External"/><Relationship Id="rId23" Type="http://schemas.openxmlformats.org/officeDocument/2006/relationships/hyperlink" Target="http://www.nevo.co.il/case/13093721" TargetMode="External"/><Relationship Id="rId24" Type="http://schemas.openxmlformats.org/officeDocument/2006/relationships/hyperlink" Target="http://www.nevo.co.il/case/21474520" TargetMode="External"/><Relationship Id="rId25" Type="http://schemas.openxmlformats.org/officeDocument/2006/relationships/hyperlink" Target="http://www.nevo.co.il/case/5594979" TargetMode="External"/><Relationship Id="rId26" Type="http://schemas.openxmlformats.org/officeDocument/2006/relationships/hyperlink" Target="http://www.nevo.co.il/case/5764932" TargetMode="External"/><Relationship Id="rId27" Type="http://schemas.openxmlformats.org/officeDocument/2006/relationships/hyperlink" Target="http://www.nevo.co.il/case/5724364" TargetMode="External"/><Relationship Id="rId28" Type="http://schemas.openxmlformats.org/officeDocument/2006/relationships/hyperlink" Target="http://www.nevo.co.il/case/20007334" TargetMode="External"/><Relationship Id="rId29" Type="http://schemas.openxmlformats.org/officeDocument/2006/relationships/hyperlink" Target="http://www.nevo.co.il/case/20775010" TargetMode="External"/><Relationship Id="rId30" Type="http://schemas.openxmlformats.org/officeDocument/2006/relationships/hyperlink" Target="http://www.nevo.co.il/case/13090914" TargetMode="External"/><Relationship Id="rId31" Type="http://schemas.openxmlformats.org/officeDocument/2006/relationships/hyperlink" Target="http://www.nevo.co.il/case/7827259" TargetMode="External"/><Relationship Id="rId32" Type="http://schemas.openxmlformats.org/officeDocument/2006/relationships/hyperlink" Target="http://www.nevo.co.il/case/13023134" TargetMode="External"/><Relationship Id="rId33" Type="http://schemas.openxmlformats.org/officeDocument/2006/relationships/hyperlink" Target="http://www.nevo.co.il/case/11269745" TargetMode="External"/><Relationship Id="rId34" Type="http://schemas.openxmlformats.org/officeDocument/2006/relationships/hyperlink" Target="http://www.nevo.co.il/case/5821327" TargetMode="External"/><Relationship Id="rId35" Type="http://schemas.openxmlformats.org/officeDocument/2006/relationships/hyperlink" Target="http://www.nevo.co.il/case/20240520" TargetMode="External"/><Relationship Id="rId36" Type="http://schemas.openxmlformats.org/officeDocument/2006/relationships/hyperlink" Target="http://www.nevo.co.il/case/20705065" TargetMode="External"/><Relationship Id="rId37" Type="http://schemas.openxmlformats.org/officeDocument/2006/relationships/hyperlink" Target="http://www.nevo.co.il/case/7827259" TargetMode="External"/><Relationship Id="rId38" Type="http://schemas.openxmlformats.org/officeDocument/2006/relationships/hyperlink" Target="http://www.nevo.co.il/case/21688764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2018-09-26T08:14:00Z</dcterms:created>
  <dc:creator> </dc:creator>
  <dc:description/>
  <cp:keywords/>
  <dc:language>en-IL</dc:language>
  <cp:lastModifiedBy>run</cp:lastModifiedBy>
  <dcterms:modified xsi:type="dcterms:W3CDTF">2018-09-26T08:14:00Z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מאזן ג'אבר;מוחמד מסודה;יוסף סקאפי;סעיד אבו נאב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13093721;21474520;5594979;5764932;5724364;20007334;20775010;13090914;7827259:2;13023134;11269745;5821327;20240520;20705065;21688764</vt:lpwstr>
  </property>
  <property fmtid="{D5CDD505-2E9C-101B-9397-08002B2CF9AE}" pid="9" name="CITY">
    <vt:lpwstr>י-ם</vt:lpwstr>
  </property>
  <property fmtid="{D5CDD505-2E9C-101B-9397-08002B2CF9AE}" pid="10" name="DATE">
    <vt:lpwstr>20171231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70301/144.b2:4;144.b;499.a.1:2;418;499</vt:lpwstr>
  </property>
  <property fmtid="{D5CDD505-2E9C-101B-9397-08002B2CF9AE}" pid="15" name="LAWLISTTMP2">
    <vt:lpwstr>4216/013:2</vt:lpwstr>
  </property>
  <property fmtid="{D5CDD505-2E9C-101B-9397-08002B2CF9AE}" pid="16" name="LAWYER">
    <vt:lpwstr>רמי עותמאן;נאיל זחאלקה;ואסים דראושה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11789</vt:lpwstr>
  </property>
  <property fmtid="{D5CDD505-2E9C-101B-9397-08002B2CF9AE}" pid="23" name="NEWPARTB">
    <vt:lpwstr>12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390020171231</vt:lpwstr>
  </property>
  <property fmtid="{D5CDD505-2E9C-101B-9397-08002B2CF9AE}" pid="35" name="TYPE_N_DATE">
    <vt:lpwstr>39020171231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