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3"/>
        <w:gridCol w:w="677"/>
        <w:gridCol w:w="7"/>
        <w:gridCol w:w="2393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5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1188-09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קאסם בן חליל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8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3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עוני קאסם בן חליל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המאשימה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קרן פינקלס 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דקלה פוגל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ליעד ידין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מטעם הסנגוריה הציבורית</w:t>
      </w:r>
      <w:r>
        <w:rPr>
          <w:b/>
          <w:bCs/>
          <w:rtl w:val="true"/>
        </w:rPr>
        <w:t xml:space="preserve">]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הנאשם –  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ביום </w:t>
      </w:r>
      <w:r>
        <w:rPr/>
        <w:t>6.1.10</w:t>
      </w:r>
      <w:r>
        <w:rPr>
          <w:rtl w:val="true"/>
        </w:rPr>
        <w:t xml:space="preserve"> </w:t>
      </w:r>
      <w:r>
        <w:rPr>
          <w:rtl w:val="true"/>
        </w:rPr>
        <w:t xml:space="preserve">הורשע הנאשם בעבירה של הסעה שלא כדין בניגוד לסעיף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 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 xml:space="preserve">באירוע מיום </w:t>
      </w:r>
      <w:r>
        <w:rPr/>
        <w:t>12.8.08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הגיעו להסדר טיעון לפיו הנאשם יודה ויורשע</w:t>
      </w:r>
      <w:r>
        <w:rPr>
          <w:rtl w:val="true"/>
        </w:rPr>
        <w:t xml:space="preserve">, </w:t>
      </w:r>
      <w:r>
        <w:rPr>
          <w:rtl w:val="true"/>
        </w:rPr>
        <w:t>ויופנה לממונה על עבודות השירות ובאם ימצא מתאים</w:t>
      </w:r>
      <w:r>
        <w:rPr>
          <w:rtl w:val="true"/>
        </w:rPr>
        <w:t xml:space="preserve">, </w:t>
      </w:r>
      <w:r>
        <w:rPr>
          <w:rtl w:val="true"/>
        </w:rPr>
        <w:t>יעתרו הצדדים במשותף לחודשיים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 xml:space="preserve">ת וקנס בסך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וכן פסילה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לאחר שבחן את הנאשם</w:t>
      </w:r>
      <w:r>
        <w:rPr>
          <w:rtl w:val="true"/>
        </w:rPr>
        <w:t xml:space="preserve">, </w:t>
      </w:r>
      <w:r>
        <w:rPr>
          <w:rtl w:val="true"/>
        </w:rPr>
        <w:t>קבע כי הנאשם כשיר לבצע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עיון בחומר שבפני ולאור העובדה</w:t>
      </w:r>
      <w:r>
        <w:rPr>
          <w:rtl w:val="true"/>
        </w:rPr>
        <w:t xml:space="preserve">, </w:t>
      </w:r>
      <w:r>
        <w:rPr>
          <w:rtl w:val="true"/>
        </w:rPr>
        <w:t>כי הנאשם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חסך מזמנו של ביהמ</w:t>
      </w:r>
      <w:r>
        <w:rPr>
          <w:rtl w:val="true"/>
        </w:rPr>
        <w:t>"</w:t>
      </w:r>
      <w:r>
        <w:rPr>
          <w:rtl w:val="true"/>
        </w:rPr>
        <w:t>ש ואף כתב האישום תוקן לקולא</w:t>
      </w:r>
      <w:r>
        <w:rPr>
          <w:rtl w:val="true"/>
        </w:rPr>
        <w:t xml:space="preserve">, </w:t>
      </w:r>
      <w:r>
        <w:rPr>
          <w:rtl w:val="true"/>
        </w:rPr>
        <w:t>אני מאשר את ההסדר וגוזר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 בפועל של חודשיים אשר ירוצה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עבודות השירות יבוצעו ב</w:t>
      </w:r>
      <w:r>
        <w:rPr>
          <w:rtl w:val="true"/>
        </w:rPr>
        <w:t xml:space="preserve">- </w:t>
      </w:r>
      <w:r>
        <w:rPr>
          <w:rtl w:val="true"/>
        </w:rPr>
        <w:t>מתנ</w:t>
      </w:r>
      <w:r>
        <w:rPr>
          <w:rtl w:val="true"/>
        </w:rPr>
        <w:t>"</w:t>
      </w:r>
      <w:r>
        <w:rPr>
          <w:rtl w:val="true"/>
        </w:rPr>
        <w:t>ס אבן יהודה בימים 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בשעות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 xml:space="preserve">החל מיום </w:t>
      </w:r>
      <w:r>
        <w:rPr/>
        <w:t>14.12.10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במועד זה על הנאשם להתייצב עד השעה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מרכז</w:t>
      </w:r>
      <w:r>
        <w:rPr>
          <w:rtl w:val="true"/>
        </w:rPr>
        <w:t xml:space="preserve">, </w:t>
      </w:r>
      <w:r>
        <w:rPr>
          <w:rtl w:val="true"/>
        </w:rPr>
        <w:t>יחידת עבודות שירות</w:t>
      </w:r>
      <w:r>
        <w:rPr>
          <w:rtl w:val="true"/>
        </w:rPr>
        <w:t xml:space="preserve">, </w:t>
      </w:r>
      <w:r>
        <w:rPr>
          <w:rtl w:val="true"/>
        </w:rPr>
        <w:t>בפני המפקח האחראי מר חנוך ברוך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מובהר לנאשם</w:t>
      </w:r>
      <w:r>
        <w:rPr>
          <w:rtl w:val="true"/>
        </w:rPr>
        <w:t xml:space="preserve">, </w:t>
      </w:r>
      <w:r>
        <w:rPr>
          <w:rtl w:val="true"/>
        </w:rPr>
        <w:t>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 בכתובת מגוריו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כי עליו לעמוד בתנאי הפיקוח ובביקורות הפתע וכי כל הפרה בעבודות השירות תביא להפסקה מנהלית וריצוי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עבירה על </w:t>
      </w:r>
      <w:hyperlink r:id="rId3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החל מיום </w:t>
      </w:r>
      <w:r>
        <w:rPr/>
        <w:t>1.1.11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 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אני פוסל את הנאשם מלהחזיק ו</w:t>
      </w:r>
      <w:r>
        <w:rPr>
          <w:rtl w:val="true"/>
        </w:rPr>
        <w:t>/</w:t>
      </w:r>
      <w:r>
        <w:rPr>
          <w:rtl w:val="true"/>
        </w:rPr>
        <w:t xml:space="preserve">או לקבל רשיון נהיגה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באם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יעבור עבירה על </w:t>
      </w:r>
      <w:hyperlink r:id="rId4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 ד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 ד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/Users/liorb/Downloads/study2025-p2/SH-09-1188-808.doc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1188-09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כפר סבא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עוני קאסם בן חליל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189_003.htm" TargetMode="External"/><Relationship Id="rId4" Type="http://schemas.openxmlformats.org/officeDocument/2006/relationships/hyperlink" Target="http://www.nevo.co.il/law_html/law01/189_003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2010-12-01T03:39:00Z</dcterms:created>
  <dc:creator> </dc:creator>
  <dc:description/>
  <cp:keywords/>
  <dc:language>en-IL</dc:language>
  <cp:lastModifiedBy>orit</cp:lastModifiedBy>
  <dcterms:modified xsi:type="dcterms:W3CDTF">2010-12-01T15:23:00Z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כפר סבא;נ ג ד</vt:lpwstr>
  </property>
  <property fmtid="{D5CDD505-2E9C-101B-9397-08002B2CF9AE}" pid="3" name="APPELLEE">
    <vt:lpwstr>עוני קאסם בן חליל</vt:lpwstr>
  </property>
  <property fmtid="{D5CDD505-2E9C-101B-9397-08002B2CF9AE}" pid="4" name="CITY">
    <vt:lpwstr>כ"ס</vt:lpwstr>
  </property>
  <property fmtid="{D5CDD505-2E9C-101B-9397-08002B2CF9AE}" pid="5" name="DATE">
    <vt:lpwstr>20101130</vt:lpwstr>
  </property>
  <property fmtid="{D5CDD505-2E9C-101B-9397-08002B2CF9AE}" pid="6" name="JUDGE">
    <vt:lpwstr>אהרן ד. גולדס</vt:lpwstr>
  </property>
  <property fmtid="{D5CDD505-2E9C-101B-9397-08002B2CF9AE}" pid="7" name="LAWYER">
    <vt:lpwstr>קרן פינקלס;דקלה פוגל;ליעד ידין [ הסנגוריה הציבורית]</vt:lpwstr>
  </property>
  <property fmtid="{D5CDD505-2E9C-101B-9397-08002B2CF9AE}" pid="8" name="NEWPARTA">
    <vt:lpwstr>1188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1188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09 1188 808 htm</vt:lpwstr>
  </property>
  <property fmtid="{D5CDD505-2E9C-101B-9397-08002B2CF9AE}" pid="16" name="TYPE">
    <vt:lpwstr>3</vt:lpwstr>
  </property>
  <property fmtid="{D5CDD505-2E9C-101B-9397-08002B2CF9AE}" pid="17" name="TYPE_ABS_DATE">
    <vt:lpwstr>380020101130</vt:lpwstr>
  </property>
  <property fmtid="{D5CDD505-2E9C-101B-9397-08002B2CF9AE}" pid="18" name="TYPE_N_DATE">
    <vt:lpwstr>38020101130</vt:lpwstr>
  </property>
  <property fmtid="{D5CDD505-2E9C-101B-9397-08002B2CF9AE}" pid="19" name="WORDNUMPAGES">
    <vt:lpwstr>2</vt:lpwstr>
  </property>
</Properties>
</file>