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דין אזורי לעבודה בירושלים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119-08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התמ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 מחלקה משפטית</w:t>
            </w:r>
            <w:r>
              <w:rPr>
                <w:b/>
                <w:bCs/>
                <w:sz w:val="26"/>
                <w:szCs w:val="26"/>
                <w:rtl w:val="true"/>
              </w:rPr>
              <w:t>-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ז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מנייר ע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 </w:t>
            </w:r>
            <w:r>
              <w:rPr>
                <w:b/>
                <w:bCs/>
                <w:sz w:val="26"/>
                <w:szCs w:val="26"/>
              </w:rPr>
              <w:t>2004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 ואח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נובמבר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Tahoma" w:hAnsi="Tahoma" w:cs="Tahoma"/>
          <w:b/>
          <w:bCs/>
          <w:color w:val="000080"/>
          <w:sz w:val="6"/>
          <w:szCs w:val="6"/>
        </w:rPr>
      </w:pPr>
      <w:r>
        <w:rPr>
          <w:rFonts w:cs="Tahoma" w:ascii="Tahoma" w:hAnsi="Tahoma"/>
          <w:b/>
          <w:bCs/>
          <w:color w:val="000080"/>
          <w:sz w:val="6"/>
          <w:szCs w:val="6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996"/>
        <w:gridCol w:w="5759"/>
        <w:gridCol w:w="1963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נשיאה דיתה פרוז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ינין</w:t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מדינת ישראל 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-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משרד התעשיה המסחר והתעסוקה</w:t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  <w:bookmarkStart w:id="1" w:name="FirstLawyer"/>
            <w:bookmarkStart w:id="2" w:name="FirstAppellant"/>
            <w:bookmarkStart w:id="3" w:name="FirstLawyer"/>
            <w:bookmarkStart w:id="4" w:name="FirstAppellant"/>
            <w:bookmarkEnd w:id="3"/>
            <w:bookmarkEnd w:id="4"/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 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 גיורא עדתו</w:t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</w:tr>
      <w:tr>
        <w:trPr/>
        <w:tc>
          <w:tcPr>
            <w:tcW w:w="8802" w:type="dxa"/>
            <w:gridSpan w:val="4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מנייר ע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 </w:t>
            </w:r>
            <w:r>
              <w:rPr>
                <w:b/>
                <w:bCs/>
                <w:sz w:val="26"/>
                <w:szCs w:val="26"/>
              </w:rPr>
              <w:t>2004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בע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מנייר עמאד</w:t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10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759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sz w:val="26"/>
                <w:szCs w:val="26"/>
              </w:rPr>
            </w:pPr>
            <w:r>
              <w:rPr>
                <w:sz w:val="26"/>
                <w:sz w:val="26"/>
                <w:szCs w:val="26"/>
                <w:rtl w:val="true"/>
              </w:rPr>
              <w:t>ע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י ב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כ עו</w:t>
            </w:r>
            <w:r>
              <w:rPr>
                <w:sz w:val="26"/>
                <w:szCs w:val="26"/>
                <w:rtl w:val="true"/>
              </w:rPr>
              <w:t>"</w:t>
            </w:r>
            <w:r>
              <w:rPr>
                <w:sz w:val="26"/>
                <w:sz w:val="26"/>
                <w:szCs w:val="26"/>
                <w:rtl w:val="true"/>
              </w:rPr>
              <w:t>ד חוסיין איוב</w:t>
            </w:r>
          </w:p>
        </w:tc>
        <w:tc>
          <w:tcPr>
            <w:tcW w:w="1963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הנאשמים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5" w:name="PsakDin"/>
      <w:bookmarkEnd w:id="5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/>
      </w:pPr>
      <w:bookmarkStart w:id="6" w:name="PsakDin"/>
      <w:bookmarkEnd w:id="6"/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הנאשמים הורשעו בכך שביום </w:t>
      </w:r>
      <w:r>
        <w:rPr/>
        <w:t>16.2.05</w:t>
      </w:r>
      <w:r>
        <w:rPr>
          <w:rtl w:val="true"/>
        </w:rPr>
        <w:t xml:space="preserve"> </w:t>
      </w:r>
      <w:r>
        <w:rPr>
          <w:rtl w:val="true"/>
        </w:rPr>
        <w:t xml:space="preserve">העסיקו שלא כדין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 xml:space="preserve">עובדים זרים ששמותיהם מפורטים בסעיף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לכתב האישום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הנאשמת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הורשעה בכך שהעסיקה את העובדים שלא על פי היתר כדין</w:t>
      </w:r>
      <w:r>
        <w:rPr>
          <w:rtl w:val="true"/>
        </w:rPr>
        <w:t xml:space="preserve">,  </w:t>
      </w:r>
      <w:r>
        <w:rPr>
          <w:rtl w:val="true"/>
        </w:rPr>
        <w:t xml:space="preserve">והנאשם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הורשע בכך שהפר את חובתו לפקח ולעשות כל שאפשר למניעת העבירה שביצעה הנאשמת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היינו העסקת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עובדים שלא כדין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כבר נפסק לא אחת כי העסקת עובדים זרים בלי היתר הינה עבירה חמורה</w:t>
      </w:r>
      <w:r>
        <w:rPr>
          <w:rtl w:val="true"/>
        </w:rPr>
        <w:t xml:space="preserve">, </w:t>
      </w:r>
      <w:r>
        <w:rPr>
          <w:rtl w:val="true"/>
        </w:rPr>
        <w:t>היא פוגעת בעובדים ישראלים ומצמצמת את אפשרויותיהם למצוא לעצמם תעסוקה</w:t>
      </w:r>
      <w:r>
        <w:rPr>
          <w:rtl w:val="true"/>
        </w:rPr>
        <w:t xml:space="preserve">. </w:t>
      </w:r>
      <w:r>
        <w:rPr>
          <w:rtl w:val="true"/>
        </w:rPr>
        <w:t>עם זאת</w:t>
      </w:r>
      <w:r>
        <w:rPr>
          <w:rtl w:val="true"/>
        </w:rPr>
        <w:t xml:space="preserve">, </w:t>
      </w:r>
      <w:r>
        <w:rPr>
          <w:rtl w:val="true"/>
        </w:rPr>
        <w:t>לא ניתן להתעלם מן העובדה שמדובר בעבירה שנעברה לפני למעלה מ</w:t>
      </w:r>
      <w:r>
        <w:rPr/>
        <w:t>5.5</w:t>
      </w:r>
      <w:r>
        <w:rPr>
          <w:rtl w:val="true"/>
        </w:rPr>
        <w:t xml:space="preserve"> </w:t>
      </w:r>
      <w:r>
        <w:rPr>
          <w:rtl w:val="true"/>
        </w:rPr>
        <w:t>שנים ולא הובא לידיעתי כי בזמן שחלף עברו הנאשמים פעם נוספת עבירה מסוג זה</w:t>
      </w:r>
      <w:r>
        <w:rPr>
          <w:rtl w:val="true"/>
        </w:rPr>
        <w:t xml:space="preserve">. </w:t>
      </w:r>
      <w:r>
        <w:rPr>
          <w:rtl w:val="true"/>
        </w:rPr>
        <w:t>כפי שאמר ב</w:t>
      </w:r>
      <w:r>
        <w:rPr>
          <w:rtl w:val="true"/>
        </w:rPr>
        <w:t>"</w:t>
      </w:r>
      <w:r>
        <w:rPr>
          <w:rtl w:val="true"/>
        </w:rPr>
        <w:t xml:space="preserve">כ הנאשמים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הינו אדם נורמטיבי והקנסות המוטלים בגין עבירות אלה הינם גבוהים ביותר ועשויים לפגוע באופן קשה הן בנאשמת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והן בנאשם </w:t>
      </w:r>
      <w:r>
        <w:rPr/>
        <w:t>2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בנסיבות אלה</w:t>
      </w:r>
      <w:r>
        <w:rPr>
          <w:rtl w:val="true"/>
        </w:rPr>
        <w:t xml:space="preserve">, </w:t>
      </w:r>
      <w:r>
        <w:rPr>
          <w:rtl w:val="true"/>
        </w:rPr>
        <w:t xml:space="preserve">אני גוזרת על הנאשמת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קנס בסך של </w:t>
      </w:r>
      <w:r>
        <w:rPr/>
        <w:t>100,000</w:t>
      </w:r>
      <w:r>
        <w:rPr>
          <w:rtl w:val="true"/>
        </w:rPr>
        <w:t xml:space="preserve"> ₪. </w:t>
      </w:r>
      <w:r>
        <w:rPr>
          <w:rtl w:val="true"/>
        </w:rPr>
        <w:t>הקנס ישולם ב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ותשלומם יחל ביום </w:t>
      </w:r>
      <w:r>
        <w:rPr/>
        <w:t>1.12.10</w:t>
      </w:r>
      <w:r>
        <w:rPr>
          <w:rtl w:val="true"/>
        </w:rPr>
        <w:t xml:space="preserve">. </w:t>
      </w:r>
      <w:r>
        <w:rPr>
          <w:rtl w:val="true"/>
        </w:rPr>
        <w:t xml:space="preserve">על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אני גוזרת קנס בסך של </w:t>
      </w:r>
      <w:r>
        <w:rPr/>
        <w:t>30,000</w:t>
      </w:r>
      <w:r>
        <w:rPr>
          <w:rtl w:val="true"/>
        </w:rPr>
        <w:t xml:space="preserve"> ₪ </w:t>
      </w:r>
      <w:r>
        <w:rPr>
          <w:rtl w:val="true"/>
        </w:rPr>
        <w:t>אשר ישולם אף הוא ב</w:t>
      </w:r>
      <w:r>
        <w:rPr>
          <w:rtl w:val="true"/>
        </w:rPr>
        <w:t>-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 xml:space="preserve">תשלומים שווים שתשלומם יחל ביום </w:t>
      </w:r>
      <w:r>
        <w:rPr/>
        <w:t>1.12.10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בנוסף לאמור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ובהתאם להוראות סעיף </w:t>
      </w:r>
      <w:r>
        <w:rPr/>
        <w:t>72</w:t>
      </w:r>
      <w:r>
        <w:rPr>
          <w:rtl w:val="true"/>
        </w:rPr>
        <w:t xml:space="preserve">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 xml:space="preserve">יהא על הנאשמים להפקיד בבית הדין עד ליום </w:t>
      </w:r>
      <w:r>
        <w:rPr/>
        <w:t>1.12.10</w:t>
      </w:r>
      <w:r>
        <w:rPr>
          <w:rtl w:val="true"/>
        </w:rPr>
        <w:t xml:space="preserve"> </w:t>
      </w:r>
      <w:r>
        <w:rPr>
          <w:rtl w:val="true"/>
        </w:rPr>
        <w:t>התחייבות להימנע מעבירה כדלקמן</w:t>
      </w:r>
      <w:r>
        <w:rPr>
          <w:rtl w:val="true"/>
        </w:rPr>
        <w:t>: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 xml:space="preserve">ההתחייבות תהיה 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כלומר תהיה בתוקף עד ליום </w:t>
      </w:r>
      <w:r>
        <w:rPr/>
        <w:t>9.11.13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 xml:space="preserve">ההתחייבות הינה להימנע מלעבור עבירה על סעיף </w:t>
      </w:r>
      <w:r>
        <w:rPr/>
        <w:t>2</w:t>
      </w:r>
      <w:r>
        <w:rPr>
          <w:rtl w:val="true"/>
        </w:rPr>
        <w:t>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3">
        <w:r>
          <w:rPr>
            <w:rStyle w:val="Hyperlink"/>
            <w:color w:val="0000FF"/>
            <w:u w:val="single"/>
            <w:rtl w:val="true"/>
          </w:rPr>
          <w:t>חוק עובדים זרים</w:t>
        </w:r>
      </w:hyperlink>
      <w:r>
        <w:rPr>
          <w:rtl w:val="true"/>
        </w:rPr>
        <w:t xml:space="preserve"> וכן על סעיף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>לחוק עובדים זרים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ההתחייבות הינה על סך של </w:t>
      </w:r>
      <w:r>
        <w:rPr/>
        <w:t>200,000</w:t>
      </w:r>
      <w:r>
        <w:rPr>
          <w:rtl w:val="true"/>
        </w:rPr>
        <w:t xml:space="preserve"> ₪ </w:t>
      </w:r>
      <w:r>
        <w:rPr>
          <w:rtl w:val="true"/>
        </w:rPr>
        <w:t>לגבי כל עבירה על הסעיף האמור ולגבי כל עובד שלגביו תעבר העבירה</w:t>
      </w:r>
      <w:r>
        <w:rPr>
          <w:rtl w:val="true"/>
        </w:rPr>
        <w:t>.</w:t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480"/>
        <w:ind w:hanging="720" w:start="1440"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#10#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ב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כסלו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09/11/2010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ה דיתה פרוז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ינין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דיתה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פרוז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ינין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נשיאה</w:t>
            </w:r>
          </w:p>
        </w:tc>
      </w:tr>
    </w:tbl>
    <w:p>
      <w:pPr>
        <w:pStyle w:val="Normal"/>
        <w:spacing w:lineRule="auto" w:line="480"/>
        <w:ind w:hanging="720" w:start="1440"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מיטל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מלכה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4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5"/>
      <w:footerReference w:type="default" r:id="rId6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>-</w:t>
    </w:r>
    <w:r>
      <w:rPr>
        <w:color w:val="000000"/>
        <w:sz w:val="22"/>
        <w:sz w:val="22"/>
        <w:szCs w:val="22"/>
        <w:rtl w:val="true"/>
      </w:rPr>
      <w:t>ם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119-08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 xml:space="preserve">מדינת ישראל </w:t>
    </w:r>
    <w:r>
      <w:rPr>
        <w:color w:val="000000"/>
        <w:sz w:val="22"/>
        <w:szCs w:val="22"/>
        <w:rtl w:val="true"/>
      </w:rPr>
      <w:t xml:space="preserve">- </w:t>
    </w:r>
    <w:r>
      <w:rPr>
        <w:color w:val="000000"/>
        <w:sz w:val="22"/>
        <w:sz w:val="22"/>
        <w:szCs w:val="22"/>
        <w:rtl w:val="true"/>
      </w:rPr>
      <w:t>משרד התעשיה המסחר והתעסוקה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מנייר ע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 xml:space="preserve">מ </w:t>
    </w:r>
    <w:r>
      <w:rPr>
        <w:color w:val="000000"/>
        <w:sz w:val="22"/>
        <w:szCs w:val="22"/>
      </w:rPr>
      <w:t>2004</w:t>
    </w:r>
    <w:r>
      <w:rPr>
        <w:color w:val="000000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בע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מ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law_html/law01/P178_002.htm" TargetMode="External"/><Relationship Id="rId4" Type="http://schemas.openxmlformats.org/officeDocument/2006/relationships/hyperlink" Target="http://www.nevo.co.il/advertisements/nevo-100.doc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2011-10-16T07:37:00Z</dcterms:created>
  <dc:creator> </dc:creator>
  <dc:description/>
  <cp:keywords/>
  <dc:language>en-IL</dc:language>
  <cp:lastModifiedBy>hofit</cp:lastModifiedBy>
  <dcterms:modified xsi:type="dcterms:W3CDTF">2011-10-16T07:37:00Z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 - משרד התעשיה המסחר והתעסוקה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מנייר ע.מ 2004 בע#מ;.מנייר עמאד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ITY">
    <vt:lpwstr>י-ם</vt:lpwstr>
  </property>
  <property fmtid="{D5CDD505-2E9C-101B-9397-08002B2CF9AE}" pid="9" name="DATE">
    <vt:lpwstr>20101109</vt:lpwstr>
  </property>
  <property fmtid="{D5CDD505-2E9C-101B-9397-08002B2CF9AE}" pid="10" name="DELEMATA">
    <vt:lpwstr/>
  </property>
  <property fmtid="{D5CDD505-2E9C-101B-9397-08002B2CF9AE}" pid="11" name="JUDGE">
    <vt:lpwstr>ה דיתה פרוז'ינין</vt:lpwstr>
  </property>
  <property fmtid="{D5CDD505-2E9C-101B-9397-08002B2CF9AE}" pid="12" name="LAWYER">
    <vt:lpwstr>גיורא עדתו;חוסיין איוב</vt:lpwstr>
  </property>
  <property fmtid="{D5CDD505-2E9C-101B-9397-08002B2CF9AE}" pid="13" name="LINKK1">
    <vt:lpwstr/>
  </property>
  <property fmtid="{D5CDD505-2E9C-101B-9397-08002B2CF9AE}" pid="14" name="LINKK2">
    <vt:lpwstr/>
  </property>
  <property fmtid="{D5CDD505-2E9C-101B-9397-08002B2CF9AE}" pid="15" name="LINKK3">
    <vt:lpwstr/>
  </property>
  <property fmtid="{D5CDD505-2E9C-101B-9397-08002B2CF9AE}" pid="16" name="LINKK4">
    <vt:lpwstr/>
  </property>
  <property fmtid="{D5CDD505-2E9C-101B-9397-08002B2CF9AE}" pid="17" name="LINKK5">
    <vt:lpwstr/>
  </property>
  <property fmtid="{D5CDD505-2E9C-101B-9397-08002B2CF9AE}" pid="18" name="NEWPARTA">
    <vt:lpwstr>119</vt:lpwstr>
  </property>
  <property fmtid="{D5CDD505-2E9C-101B-9397-08002B2CF9AE}" pid="19" name="NEWPARTB">
    <vt:lpwstr/>
  </property>
  <property fmtid="{D5CDD505-2E9C-101B-9397-08002B2CF9AE}" pid="20" name="NEWPARTC">
    <vt:lpwstr>08</vt:lpwstr>
  </property>
  <property fmtid="{D5CDD505-2E9C-101B-9397-08002B2CF9AE}" pid="21" name="NEWPROC">
    <vt:lpwstr>תפ</vt:lpwstr>
  </property>
  <property fmtid="{D5CDD505-2E9C-101B-9397-08002B2CF9AE}" pid="22" name="PADIMAIL">
    <vt:lpwstr/>
  </property>
  <property fmtid="{D5CDD505-2E9C-101B-9397-08002B2CF9AE}" pid="23" name="PAGE">
    <vt:lpwstr/>
  </property>
  <property fmtid="{D5CDD505-2E9C-101B-9397-08002B2CF9AE}" pid="24" name="PART">
    <vt:lpwstr/>
  </property>
  <property fmtid="{D5CDD505-2E9C-101B-9397-08002B2CF9AE}" pid="25" name="PROCESS">
    <vt:lpwstr/>
  </property>
  <property fmtid="{D5CDD505-2E9C-101B-9397-08002B2CF9AE}" pid="26" name="PROCNUM">
    <vt:lpwstr>119</vt:lpwstr>
  </property>
  <property fmtid="{D5CDD505-2E9C-101B-9397-08002B2CF9AE}" pid="27" name="PROCYEAR">
    <vt:lpwstr>08</vt:lpwstr>
  </property>
  <property fmtid="{D5CDD505-2E9C-101B-9397-08002B2CF9AE}" pid="28" name="PSAKDIN">
    <vt:lpwstr>גזר-דין</vt:lpwstr>
  </property>
  <property fmtid="{D5CDD505-2E9C-101B-9397-08002B2CF9AE}" pid="29" name="RemarkFileName">
    <vt:lpwstr>avoda a 08 119 315 htm</vt:lpwstr>
  </property>
  <property fmtid="{D5CDD505-2E9C-101B-9397-08002B2CF9AE}" pid="30" name="TYPE">
    <vt:lpwstr>5</vt:lpwstr>
  </property>
  <property fmtid="{D5CDD505-2E9C-101B-9397-08002B2CF9AE}" pid="31" name="TYPE_ABS_DATE">
    <vt:lpwstr>350020101109</vt:lpwstr>
  </property>
  <property fmtid="{D5CDD505-2E9C-101B-9397-08002B2CF9AE}" pid="32" name="TYPE_N_DATE">
    <vt:lpwstr>35020101109</vt:lpwstr>
  </property>
  <property fmtid="{D5CDD505-2E9C-101B-9397-08002B2CF9AE}" pid="33" name="VOLUME">
    <vt:lpwstr/>
  </property>
  <property fmtid="{D5CDD505-2E9C-101B-9397-08002B2CF9AE}" pid="34" name="WORDNUMPAGES">
    <vt:lpwstr>2</vt:lpwstr>
  </property>
</Properties>
</file>