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11965-03-10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כעביה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/>
            </w:pPr>
            <w:r>
              <w:rPr/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דורון פורת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פארס כעביה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התובעת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אושרת בן סדון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 ו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ויסאם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כעביה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2"/>
        <w:ind w:end="0"/>
        <w:jc w:val="center"/>
        <w:rPr>
          <w:rFonts w:ascii="Arial" w:hAnsi="Arial" w:eastAsia="David" w:cs="Arial"/>
          <w:b/>
          <w:bCs/>
          <w:sz w:val="28"/>
          <w:u w:val="none"/>
          <w:lang w:eastAsia="en-US"/>
        </w:rPr>
      </w:pPr>
      <w:r>
        <w:rPr>
          <w:rFonts w:eastAsia="David" w:cs="Arial" w:ascii="Arial" w:hAnsi="Arial"/>
          <w:b/>
          <w:bCs/>
          <w:sz w:val="28"/>
          <w:u w:val="none"/>
          <w:rtl w:val="true"/>
          <w:lang w:eastAsia="en-US"/>
        </w:rPr>
      </w:r>
    </w:p>
    <w:p>
      <w:pPr>
        <w:pStyle w:val="BodyText2"/>
        <w:ind w:end="0"/>
        <w:jc w:val="center"/>
        <w:rPr>
          <w:rFonts w:ascii="Arial" w:hAnsi="Arial" w:eastAsia="David" w:cs="Arial"/>
          <w:b/>
          <w:bCs/>
          <w:sz w:val="28"/>
          <w:u w:val="single"/>
          <w:lang w:eastAsia="en-US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eastAsia="David" w:cs="Arial"/>
          <w:b/>
          <w:b/>
          <w:bCs/>
          <w:sz w:val="28"/>
          <w:sz w:val="28"/>
          <w:u w:val="single"/>
          <w:rtl w:val="true"/>
          <w:lang w:eastAsia="en-US"/>
        </w:rPr>
        <w:t>גזר דין</w:t>
      </w:r>
    </w:p>
    <w:p>
      <w:pPr>
        <w:pStyle w:val="BodyText2"/>
        <w:ind w:end="0"/>
        <w:jc w:val="both"/>
        <w:rPr>
          <w:rFonts w:ascii="Arial" w:hAnsi="Arial" w:eastAsia="David" w:cs="Arial"/>
          <w:b/>
          <w:bCs/>
          <w:sz w:val="28"/>
          <w:szCs w:val="24"/>
          <w:u w:val="single"/>
          <w:lang w:eastAsia="en-US"/>
        </w:rPr>
      </w:pPr>
      <w:r>
        <w:rPr>
          <w:rFonts w:eastAsia="David" w:cs="Arial" w:ascii="Arial" w:hAnsi="Arial"/>
          <w:b/>
          <w:bCs/>
          <w:sz w:val="28"/>
          <w:szCs w:val="24"/>
          <w:u w:val="single"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אשר יוחסו לו בכתב האישום</w:t>
      </w:r>
      <w:r>
        <w:rPr>
          <w:rtl w:val="true"/>
        </w:rPr>
        <w:t>:</w:t>
      </w:r>
      <w:r>
        <w:rPr>
          <w:rFonts w:cs="Times New Roman-Normal-1255" w:ascii="Times New Roman-Normal-1255" w:hAnsi="Times New Roman-Normal-1255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כגנוב</w:t>
      </w:r>
      <w:r>
        <w:rPr>
          <w:rtl w:val="true"/>
        </w:rPr>
        <w:t>,</w:t>
      </w:r>
      <w:r>
        <w:rPr>
          <w:rFonts w:cs="Times New Roman-Normal-1255" w:ascii="Times New Roman-Normal-1255" w:hAnsi="Times New Roman-Normal-1255"/>
          <w:rtl w:val="true"/>
        </w:rPr>
        <w:t xml:space="preserve"> </w:t>
      </w:r>
      <w:r>
        <w:rPr>
          <w:rtl w:val="true"/>
        </w:rPr>
        <w:t>עבירה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>לפי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 xml:space="preserve">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החזקת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ascii="Times New Roman-Normal-1255" w:hAnsi="Times New Roman-Normal-1255" w:cs="Times New Roman-Normal-1255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>,</w:t>
      </w:r>
      <w:r>
        <w:rPr>
          <w:rFonts w:cs="Times New Roman-Normal-1255" w:ascii="Times New Roman-Normal-1255" w:hAnsi="Times New Roman-Normal-1255"/>
          <w:rtl w:val="true"/>
        </w:rPr>
        <w:t xml:space="preserve"> </w:t>
      </w:r>
      <w:r>
        <w:rPr>
          <w:rtl w:val="true"/>
        </w:rPr>
        <w:t>עבירה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>לפי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 xml:space="preserve">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>לחוק</w:t>
      </w:r>
      <w:r>
        <w:rPr>
          <w:rFonts w:ascii="Times New Roman-Normal-1255" w:hAnsi="Times New Roman-Normal-1255" w:cs="Times New Roman-Normal-1255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-Normal-1255" w:hAnsi="Times New Roman-Normal-1255" w:cs="Times New Roman"/>
        </w:rPr>
      </w:pPr>
      <w:r>
        <w:rPr>
          <w:rFonts w:cs="Times New Roman" w:ascii="Times New Roman-Normal-1255" w:hAnsi="Times New Roman-Normal-1255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bookmarkStart w:id="8" w:name="ABSTRACT_START"/>
      <w:bookmarkEnd w:id="8"/>
      <w:r>
        <w:rPr>
          <w:rtl w:val="true"/>
        </w:rPr>
        <w:t>עובדות המקרה פורטו בהרחבה בכתב האישום</w:t>
      </w:r>
      <w:r>
        <w:rPr>
          <w:rtl w:val="true"/>
        </w:rPr>
        <w:t xml:space="preserve">. </w:t>
      </w:r>
      <w:r>
        <w:rPr>
          <w:rtl w:val="true"/>
        </w:rPr>
        <w:t>בקליפת האגוז יאמר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/>
        <w:t>14.8.08</w:t>
      </w:r>
      <w:r>
        <w:rPr>
          <w:rtl w:val="true"/>
        </w:rPr>
        <w:t xml:space="preserve"> </w:t>
      </w:r>
      <w:r>
        <w:rPr>
          <w:rtl w:val="true"/>
        </w:rPr>
        <w:t>בעת חיפוש בביתו של הנאשם</w:t>
      </w:r>
      <w:r>
        <w:rPr>
          <w:rtl w:val="true"/>
        </w:rPr>
        <w:t xml:space="preserve">, </w:t>
      </w:r>
      <w:r>
        <w:rPr>
          <w:rtl w:val="true"/>
        </w:rPr>
        <w:t>נמצא שהוא מחזיק מדי צבא</w:t>
      </w:r>
      <w:r>
        <w:rPr>
          <w:rtl w:val="true"/>
        </w:rPr>
        <w:t xml:space="preserve">, </w:t>
      </w:r>
      <w:r>
        <w:rPr>
          <w:rtl w:val="true"/>
        </w:rPr>
        <w:t xml:space="preserve">תחמושת  שכללה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מחסניות וכדורים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bookmarkStart w:id="9" w:name="ABSTRACT_END"/>
      <w:bookmarkEnd w:id="9"/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והורשע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2,500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 והתחייבות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3,000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 מטעם התביעה</w:t>
      </w:r>
      <w:r>
        <w:rPr>
          <w:b/>
          <w:bCs/>
          <w:u w:val="single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לדעתה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וכולל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b/>
          <w:bCs/>
          <w:u w:val="single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טיעונים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לעונש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מטעם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ההגנה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 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צבאי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מתעתד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סיעוד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45" w:end="-180"/>
        <w:jc w:val="both"/>
        <w:rPr/>
      </w:pPr>
      <w:r>
        <w:rPr>
          <w:rtl w:val="true"/>
        </w:rPr>
        <w:t>הנאשם הורשע על פי הודאתו בעבירה של גניבת מחסניות וכדורי נשק וכן מדי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מדובר בעבירה אשר לכשעצמה חמורה</w:t>
      </w:r>
      <w:r>
        <w:rPr>
          <w:rtl w:val="true"/>
        </w:rPr>
        <w:t xml:space="preserve">, </w:t>
      </w:r>
      <w:r>
        <w:rPr>
          <w:rtl w:val="true"/>
        </w:rPr>
        <w:t>בשל הפגיעה באמון אשר נותן הצבא בחייליו וכן  באינטרס של בטחון הציבור</w:t>
      </w:r>
      <w:r>
        <w:rPr>
          <w:rtl w:val="true"/>
        </w:rPr>
        <w:t xml:space="preserve">. </w:t>
      </w:r>
      <w:r>
        <w:rPr>
          <w:rtl w:val="true"/>
        </w:rPr>
        <w:t>בתי המשפט הביעו את עמדתם לא אחת</w:t>
      </w:r>
      <w:r>
        <w:rPr>
          <w:rtl w:val="true"/>
        </w:rPr>
        <w:t xml:space="preserve">, </w:t>
      </w:r>
      <w:r>
        <w:rPr>
          <w:rtl w:val="true"/>
        </w:rPr>
        <w:t>כי בעבירות אלה יש להטיל ענישה מחמירה במיוחד כשמדובר בנשק שנגנב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ביניהם לידי הסדר טיעון</w:t>
      </w:r>
      <w:r>
        <w:rPr>
          <w:rtl w:val="true"/>
        </w:rPr>
        <w:t xml:space="preserve">. </w:t>
      </w:r>
      <w:r>
        <w:rPr>
          <w:rtl w:val="true"/>
        </w:rPr>
        <w:t>אלמלא הסדר הטיעון הייתי מטיל על הנאשם עונשים חמורים יותר</w:t>
      </w:r>
      <w:r>
        <w:rPr>
          <w:rtl w:val="true"/>
        </w:rPr>
        <w:t xml:space="preserve">. </w:t>
      </w:r>
      <w:r>
        <w:rPr>
          <w:rtl w:val="true"/>
        </w:rPr>
        <w:t>התביעה הגיעה להסדר טיעון הכולל ענישה מקלה תוך שהיא קובעת את כל הפרמטרים ברכיבי הענישה</w:t>
      </w:r>
      <w:r>
        <w:rPr>
          <w:rtl w:val="true"/>
        </w:rPr>
        <w:t xml:space="preserve">. </w:t>
      </w:r>
      <w:r>
        <w:rPr>
          <w:rtl w:val="true"/>
        </w:rPr>
        <w:t>חזקה על התביעה ששקלה את כל השיקולים הקשורים באינטרס הציבורי</w:t>
      </w:r>
      <w:r>
        <w:rPr>
          <w:rtl w:val="true"/>
        </w:rPr>
        <w:t xml:space="preserve">. </w:t>
      </w:r>
      <w:r>
        <w:rPr>
          <w:rtl w:val="true"/>
        </w:rPr>
        <w:t>הסדרי טיעון יש בהם לא אחת מקרים בהם רב הנסתר על הגלוי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בתי המשפט נמנעים מהתערבות בהסדרי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 דעתי לכך שלנאשם הרשעה קודמת ואין זו מעידתו הראשונה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ביום </w:t>
      </w:r>
      <w:r>
        <w:rPr/>
        <w:t>22.2.10</w:t>
      </w:r>
      <w:r>
        <w:rPr>
          <w:rtl w:val="true"/>
        </w:rPr>
        <w:t xml:space="preserve"> </w:t>
      </w:r>
      <w:r>
        <w:rPr>
          <w:rtl w:val="true"/>
        </w:rPr>
        <w:t>בעבירות של תקיפת שוטר</w:t>
      </w:r>
      <w:r>
        <w:rPr>
          <w:rtl w:val="true"/>
        </w:rPr>
        <w:t xml:space="preserve">, </w:t>
      </w:r>
      <w:r>
        <w:rPr>
          <w:rtl w:val="true"/>
        </w:rPr>
        <w:t>תקיפה סתם והפרת הוראה 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 דעתי לנסיבותיו האישיות של הנאשם ולגילו 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 דעתי להודאת הנאשם ולזמן השיפוטי שחסך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u w:val="single"/>
          <w:rtl w:val="true"/>
        </w:rPr>
        <w:t>בהתחשב בהודאת הנאשם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ובטיעוני שני הצדדים לעונש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אני דן את הנאשם לעונשים הבאים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.         </w:t>
      </w:r>
      <w:r>
        <w:rPr>
          <w:szCs w:val="24"/>
          <w:rtl w:val="true"/>
        </w:rPr>
        <w:t xml:space="preserve">אני מטיל על הנאשם מאסר לתקופה של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  </w:t>
      </w:r>
      <w:r>
        <w:rPr>
          <w:b/>
          <w:b/>
          <w:bCs/>
          <w:szCs w:val="24"/>
          <w:rtl w:val="true"/>
        </w:rPr>
        <w:t>חודש אחד</w:t>
      </w:r>
      <w:r>
        <w:rPr>
          <w:szCs w:val="24"/>
          <w:rtl w:val="true"/>
        </w:rPr>
        <w:t xml:space="preserve"> בפועל והיתרה על 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למשך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 החל מהיום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והתנאי שלא יעבור ויורשע על </w:t>
      </w:r>
      <w:r>
        <w:rPr>
          <w:color w:val="000000"/>
          <w:szCs w:val="24"/>
          <w:rtl w:val="true"/>
        </w:rPr>
        <w:t>כל עבירה הקשורה בנשק</w:t>
      </w:r>
      <w:r>
        <w:rPr>
          <w:color w:val="000000"/>
          <w:szCs w:val="24"/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>
          <w:color w:val="FF0000"/>
          <w:szCs w:val="24"/>
        </w:rPr>
      </w:pPr>
      <w:r>
        <w:rPr>
          <w:color w:val="FF0000"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color w:val="000000"/>
          <w:szCs w:val="24"/>
          <w:rtl w:val="true"/>
        </w:rPr>
        <w:t>ב</w:t>
      </w:r>
      <w:r>
        <w:rPr>
          <w:color w:val="000000"/>
          <w:szCs w:val="24"/>
          <w:rtl w:val="true"/>
        </w:rPr>
        <w:t xml:space="preserve">.         </w:t>
      </w:r>
      <w:r>
        <w:rPr>
          <w:color w:val="000000"/>
          <w:szCs w:val="24"/>
          <w:rtl w:val="true"/>
        </w:rPr>
        <w:t xml:space="preserve">אני מטיל על הנאשם מאסר על תנאי של חודשיים למשך </w:t>
      </w:r>
      <w:r>
        <w:rPr>
          <w:color w:val="000000"/>
          <w:szCs w:val="24"/>
        </w:rPr>
        <w:t>3</w:t>
      </w:r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שנים החל מהיום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והתנאי שלא יעבור ויורשע על עבירה של החזקת רכוש החשוד כגנוב</w:t>
      </w:r>
      <w:r>
        <w:rPr>
          <w:color w:val="000000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color w:val="000000"/>
          <w:szCs w:val="24"/>
        </w:rPr>
      </w:pPr>
      <w:r>
        <w:rPr>
          <w:color w:val="000000"/>
          <w:szCs w:val="24"/>
          <w:rtl w:val="true"/>
        </w:rPr>
      </w:r>
    </w:p>
    <w:p>
      <w:pPr>
        <w:pStyle w:val="BodyText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ג</w:t>
      </w:r>
      <w:r>
        <w:rPr>
          <w:szCs w:val="24"/>
          <w:rtl w:val="true"/>
        </w:rPr>
        <w:t xml:space="preserve">.          </w:t>
      </w:r>
      <w:r>
        <w:rPr>
          <w:szCs w:val="24"/>
          <w:rtl w:val="true"/>
        </w:rPr>
        <w:t xml:space="preserve">אני דן את הנאשם לתשלום קנס בסך </w:t>
      </w:r>
      <w:r>
        <w:rPr>
          <w:szCs w:val="24"/>
        </w:rPr>
        <w:t>2,500</w:t>
      </w:r>
      <w:r>
        <w:rPr>
          <w:szCs w:val="24"/>
          <w:rtl w:val="true"/>
        </w:rPr>
        <w:t xml:space="preserve"> ₪, </w:t>
      </w:r>
      <w:r>
        <w:rPr>
          <w:szCs w:val="24"/>
          <w:rtl w:val="true"/>
        </w:rPr>
        <w:t xml:space="preserve">או  </w:t>
      </w:r>
      <w:r>
        <w:rPr>
          <w:szCs w:val="24"/>
        </w:rPr>
        <w:t>25</w:t>
      </w:r>
      <w:r>
        <w:rPr>
          <w:szCs w:val="24"/>
          <w:rtl w:val="true"/>
        </w:rPr>
        <w:t xml:space="preserve">  </w:t>
      </w:r>
      <w:r>
        <w:rPr>
          <w:szCs w:val="24"/>
          <w:rtl w:val="true"/>
        </w:rPr>
        <w:t>ימי מאסר שיישא הנאשם בנוסף לכל מאסר אחר שהוטל עליו</w:t>
      </w:r>
      <w:r>
        <w:rPr>
          <w:szCs w:val="24"/>
          <w:rtl w:val="true"/>
        </w:rPr>
        <w:t>.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 w:val="false"/>
          <w:bCs w:val="false"/>
          <w:szCs w:val="24"/>
          <w:rtl w:val="true"/>
        </w:rPr>
        <w:t xml:space="preserve">הקנס ישולם ב – </w:t>
      </w:r>
      <w:r>
        <w:rPr>
          <w:b w:val="false"/>
          <w:bCs w:val="false"/>
          <w:szCs w:val="24"/>
        </w:rPr>
        <w:t>10</w:t>
      </w:r>
      <w:r>
        <w:rPr>
          <w:b w:val="false"/>
          <w:bCs w:val="false"/>
          <w:szCs w:val="24"/>
          <w:rtl w:val="true"/>
        </w:rPr>
        <w:t xml:space="preserve">  </w:t>
      </w:r>
      <w:r>
        <w:rPr>
          <w:b w:val="false"/>
          <w:b w:val="false"/>
          <w:bCs w:val="false"/>
          <w:szCs w:val="24"/>
          <w:rtl w:val="true"/>
        </w:rPr>
        <w:t>שיעורים חודשיים שווים ורצופים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 xml:space="preserve">תשלום ראשון תוך </w:t>
      </w:r>
      <w:r>
        <w:rPr>
          <w:b w:val="false"/>
          <w:bCs w:val="false"/>
          <w:szCs w:val="24"/>
        </w:rPr>
        <w:t>30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יום מהיום</w:t>
      </w:r>
      <w:r>
        <w:rPr>
          <w:b w:val="false"/>
          <w:bCs w:val="false"/>
          <w:szCs w:val="24"/>
          <w:rtl w:val="true"/>
        </w:rPr>
        <w:t xml:space="preserve">. </w:t>
      </w:r>
      <w:r>
        <w:rPr>
          <w:b w:val="false"/>
          <w:b w:val="false"/>
          <w:bCs w:val="false"/>
          <w:szCs w:val="24"/>
          <w:rtl w:val="true"/>
        </w:rPr>
        <w:t>אי תשלום אחד מהשיעורים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>יעמיד את היתרה לפירעון מיידי</w:t>
      </w:r>
      <w:r>
        <w:rPr>
          <w:b w:val="false"/>
          <w:bCs w:val="false"/>
          <w:szCs w:val="24"/>
          <w:rtl w:val="true"/>
        </w:rPr>
        <w:t>.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Cs w:val="false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יחתום על התחייבות כספית</w:t>
      </w:r>
      <w:r>
        <w:rPr>
          <w:rtl w:val="true"/>
        </w:rPr>
        <w:t xml:space="preserve">, </w:t>
      </w:r>
      <w:r>
        <w:rPr>
          <w:rtl w:val="true"/>
        </w:rPr>
        <w:t>לפיה יתחייב הנאשם להימנע מביצוע</w:t>
      </w:r>
      <w:r>
        <w:rPr>
          <w:rtl w:val="true"/>
        </w:rPr>
        <w:t xml:space="preserve"> </w:t>
      </w:r>
      <w:r>
        <w:rPr>
          <w:rtl w:val="true"/>
        </w:rPr>
        <w:t>העבירות בהן   הורשע בכתב אישום זה</w:t>
      </w:r>
      <w:r>
        <w:rPr>
          <w:rtl w:val="true"/>
        </w:rPr>
        <w:t xml:space="preserve">. </w:t>
      </w:r>
      <w:r>
        <w:rPr>
          <w:rtl w:val="true"/>
        </w:rPr>
        <w:t xml:space="preserve">גובה ההתחייבות   </w:t>
      </w:r>
      <w:r>
        <w:rPr/>
        <w:t>3,000</w:t>
      </w:r>
      <w:r>
        <w:rPr>
          <w:rtl w:val="true"/>
        </w:rPr>
        <w:t xml:space="preserve">  ₪. </w:t>
      </w:r>
      <w:r>
        <w:rPr>
          <w:rtl w:val="true"/>
        </w:rPr>
        <w:t xml:space="preserve">משך ההתחייבות הינה ל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במידה והנאשם לא יחתום על ההתחייבות ייאסר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BodyText2"/>
        <w:ind w:end="0"/>
        <w:jc w:val="both"/>
        <w:rPr>
          <w:szCs w:val="24"/>
          <w:u w:val="single"/>
        </w:rPr>
      </w:pPr>
      <w:r>
        <w:rPr>
          <w:szCs w:val="24"/>
          <w:u w:val="single"/>
          <w:rtl w:val="true"/>
        </w:rPr>
      </w:r>
    </w:p>
    <w:p>
      <w:pPr>
        <w:pStyle w:val="BodyText2"/>
        <w:ind w:hanging="720" w:start="720" w:end="0"/>
        <w:jc w:val="both"/>
        <w:rPr>
          <w:rFonts w:cs="Times New Roman"/>
          <w:szCs w:val="24"/>
        </w:rPr>
      </w:pPr>
      <w:r>
        <w:rPr>
          <w:szCs w:val="24"/>
          <w:rtl w:val="true"/>
        </w:rPr>
        <w:t>ד</w:t>
      </w:r>
      <w:r>
        <w:rPr>
          <w:szCs w:val="24"/>
          <w:rtl w:val="true"/>
        </w:rPr>
        <w:t xml:space="preserve">.         </w:t>
      </w:r>
      <w:r>
        <w:rPr>
          <w:szCs w:val="24"/>
          <w:rtl w:val="true"/>
        </w:rPr>
        <w:t>הנאשם ירצה את עבודות השירות בהתאם לחוות הדעת שהתקבלה</w:t>
      </w:r>
      <w:r>
        <w:rPr>
          <w:szCs w:val="24"/>
          <w:rtl w:val="true"/>
        </w:rPr>
        <w:t>.</w:t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 xml:space="preserve">            </w:t>
      </w:r>
      <w:r>
        <w:rPr>
          <w:szCs w:val="24"/>
          <w:rtl w:val="true"/>
        </w:rPr>
        <w:t xml:space="preserve">תחילת עבודות השירות ביום </w:t>
      </w:r>
      <w:r>
        <w:rPr>
          <w:b/>
          <w:bCs/>
          <w:szCs w:val="24"/>
        </w:rPr>
        <w:t>25.7.11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>המזכירות תמציא העתק לממונה על עבודות שירות</w:t>
      </w:r>
      <w:r>
        <w:rPr>
          <w:b/>
          <w:bCs/>
          <w:szCs w:val="24"/>
          <w:u w:val="single"/>
          <w:rtl w:val="true"/>
        </w:rPr>
        <w:t>.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>המוצגים להחזיר לצה</w:t>
      </w:r>
      <w:r>
        <w:rPr>
          <w:b/>
          <w:bCs/>
          <w:szCs w:val="24"/>
          <w:u w:val="single"/>
          <w:rtl w:val="true"/>
        </w:rPr>
        <w:t>"</w:t>
      </w:r>
      <w:r>
        <w:rPr>
          <w:b/>
          <w:b/>
          <w:bCs/>
          <w:szCs w:val="24"/>
          <w:u w:val="single"/>
          <w:rtl w:val="true"/>
        </w:rPr>
        <w:t>ל</w:t>
      </w:r>
      <w:r>
        <w:rPr>
          <w:b/>
          <w:bCs/>
          <w:szCs w:val="24"/>
          <w:u w:val="single"/>
          <w:rtl w:val="true"/>
        </w:rPr>
        <w:t>.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בבית משפט המחוזי בנצרת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דורון פורת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Times New Roman-Normal-1255">
    <w:charset w:val="b1" w:characterSet="windows-1255"/>
    <w:family w:val="roma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11965-03-10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פארס כעביה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>
      <w:rFonts w:ascii="Times New Roman" w:hAnsi="Times New Roman" w:eastAsia="Times New Roman" w:cs="Times New Roman"/>
      <w:b/>
      <w:bCs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2011-07-10T11:16:00Z</dcterms:created>
  <dc:creator> </dc:creator>
  <dc:description/>
  <cp:keywords/>
  <dc:language>en-IL</dc:language>
  <cp:lastModifiedBy>hofit</cp:lastModifiedBy>
  <dcterms:modified xsi:type="dcterms:W3CDTF">2011-07-10T11:16:00Z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כעביה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20110707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דורון פורת</vt:lpwstr>
  </property>
  <property fmtid="{D5CDD505-2E9C-101B-9397-08002B2CF9AE}" pid="13" name="LAWYER">
    <vt:lpwstr>ו ויסאם כעביה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11965</vt:lpwstr>
  </property>
  <property fmtid="{D5CDD505-2E9C-101B-9397-08002B2CF9AE}" pid="20" name="NEWPARTB">
    <vt:lpwstr>03</vt:lpwstr>
  </property>
  <property fmtid="{D5CDD505-2E9C-101B-9397-08002B2CF9AE}" pid="21" name="NEWPARTC">
    <vt:lpwstr>10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380020110707</vt:lpwstr>
  </property>
  <property fmtid="{D5CDD505-2E9C-101B-9397-08002B2CF9AE}" pid="32" name="TYPE_N_DATE">
    <vt:lpwstr>38020110707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