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1203-08-19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סבלאן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היסאם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סבלאן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סבלאן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ואוזן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START"/>
      <w:bookmarkEnd w:id="8"/>
      <w:r>
        <w:rPr>
          <w:rFonts w:ascii="David" w:hAnsi="David"/>
          <w:color w:val="000000"/>
          <w:rtl w:val="true"/>
        </w:rPr>
        <w:t>הנאשמים הורשעו בהתאם להודאתם בעובדות כתב האישום המתוקן בעבירות 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נשיאת נשק ותחמושת בצוותא חדא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יחד עם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מעשה פזיזות ורשלנות בצוותא חדא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ביחד עם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13" w:start="720" w:end="0"/>
        <w:jc w:val="both"/>
        <w:rPr>
          <w:rFonts w:ascii="David" w:hAnsi="David" w:cs="David"/>
          <w:color w:val="000000"/>
        </w:rPr>
      </w:pPr>
      <w:bookmarkStart w:id="9" w:name="ABSTRACT_END"/>
      <w:bookmarkEnd w:id="9"/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הורשע בנוסף בעבירה של </w:t>
      </w:r>
      <w:r>
        <w:rPr>
          <w:rFonts w:ascii="David" w:hAnsi="David"/>
          <w:b/>
          <w:b/>
          <w:bCs/>
          <w:color w:val="000000"/>
          <w:rtl w:val="true"/>
        </w:rPr>
        <w:t>רכישת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המתואר בעובדות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ביום </w:t>
      </w:r>
      <w:r>
        <w:rPr>
          <w:rFonts w:cs="David" w:ascii="David" w:hAnsi="David"/>
          <w:b/>
          <w:bCs/>
          <w:color w:val="000000"/>
        </w:rPr>
        <w:t>2.7.1</w:t>
      </w:r>
      <w:r>
        <w:rPr>
          <w:rFonts w:cs="David" w:ascii="David" w:hAnsi="David"/>
          <w:b/>
          <w:bCs/>
          <w:color w:val="000000"/>
        </w:rPr>
        <w:t>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יצר קשר עם אחר תושב טול כרם וביקש לרכוש ממנו נשק והשניים תיאמו להיפגש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למחרת היום נסעו הנאשמים לטול כרם ברכב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שם פגשו את האחר שהחזיק בנשק כשהוא מוסלק בתיק גב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מסר לאחר חלק מהתמורה עבור הנשק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בהמשך לכך שוחחו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והאחר עם אדם נוסף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שלבי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תושב השטחים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וסיכמו עמו שיעביר את התיק ובו הנשק מטול כרם לישראל דרך פרצה בגדר בתמורה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1,500</w:t>
      </w:r>
      <w:r>
        <w:rPr>
          <w:rFonts w:cs="David" w:ascii="David" w:hAnsi="David"/>
          <w:color w:val="000000"/>
          <w:rtl w:val="true"/>
        </w:rPr>
        <w:t xml:space="preserve"> ₪. </w:t>
      </w:r>
      <w:r>
        <w:rPr>
          <w:rFonts w:ascii="David" w:hAnsi="David"/>
          <w:color w:val="000000"/>
          <w:rtl w:val="true"/>
        </w:rPr>
        <w:t>בנוסף סוכם שהנאשמים ימתינו לו בשטח ישראל סמוך לעיר טייבה וייקחו ממנו את התיק שבו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הנאשמים  ושלבי נכנסו לרכבו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אשר נהג 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הוריד את שלבי אשר נשא את התיק ובו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סמוך לפרצה בגדר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ומשם נסעו למחסום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תאנים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על מנת לשוב לשטח 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עוכבו במחסום לבדיקה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ונוכח חששם מהתארכות הבדיקה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התקשרו לשלבי שהמתין להם בישראל עם התיק ובו הנשק וביקשו לדחות את העברתו למחרת היום בתמורה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1,500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שלבי הסכים והחביא את התיק ובו הנשק תחת סככה מאולתרת הנמצאת בסמוך לפרצה בגדר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ושב לטול כרם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למחרת הודיע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לאחר באמצעות טלפון סלולרי מבצעי שיתרת התמורה עבור רכישת הנשק בידיו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והאחר הורה לו לפגוש את שלבי בטייבה שם תושלם העסקה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באותו היום הגיעו הנאשמים ברכב למקום המפגש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כשהנאשם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נוהג והנאשם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יושב במושב הנוסע הקדמי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שלבי עלה לרכב יחד עם שניים נוספים שזהותם אינה ידועה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במקום המפגש ברכב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הושלמה העסקה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כך ששלבי העביר לנאשם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את התיק ובו נשק מסוג </w:t>
      </w:r>
      <w:r>
        <w:rPr>
          <w:rFonts w:cs="David" w:ascii="David" w:hAnsi="David"/>
          <w:b/>
          <w:bCs/>
          <w:color w:val="000000"/>
        </w:rPr>
        <w:t>M16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העביר לשלבי סך של </w:t>
      </w:r>
      <w:r>
        <w:rPr>
          <w:rFonts w:cs="David" w:ascii="David" w:hAnsi="David"/>
          <w:color w:val="000000"/>
        </w:rPr>
        <w:t>200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בלבד מתוך שכרו וציין שיתרת הסכום תועבר לו באמצעות האחר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הניח את התיק ובו הנשק למרגלותיו ברכב ושלבי והאחרים ירדו מהרכב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הנאשמים המשיכו בנסיעתם על כביש </w:t>
      </w:r>
      <w:r>
        <w:rPr>
          <w:rFonts w:cs="David" w:ascii="David" w:hAnsi="David"/>
          <w:color w:val="000000"/>
        </w:rPr>
        <w:t>444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כשהנאשם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נוהג והנאשם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ישוב במושב לצדו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בהמשך הגיעו הנאשמים עם רכב לרמזור בצומת אייל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הבחינו בשני כלי רכב משטרתיים המנסים לחסום את רכבם משני צדדיו שכרזו להם לעצור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בתגובה לכך החל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בנסיעה מהירה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שוטר שהספיק לרדת מהרכב המשטרתי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נצמד לרכבו של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ואף הצליח לתפוס בידו את חולצת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דרך חלון הרכב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אולם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 לנסוע במהירות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תוך שמסכן את חיי השוטר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כתוצאה מכך עזב השוטר את חולצתו של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וחזר לרכב המשטרתי שרדף אחר הנאשמים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הנאשמים המשיכו בניסיונם להימלט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נהג בפראות תוך שזגזג בין הנתיבים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עלה על שולי הכביש ונסע בצורה מסוכנת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כשבכל אותה עת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כרזו השוטרים לנאשמים לעצור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בהמשך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נצמד לרכב המשטרתי ועל מנת להימנע מתאונה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פגע הרכב המשטרתי במעקה הבטיחות ונגרם לו נזק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רק לאחר פגיעת הרכב המשטרתי הנוסף בצדו הימני של הרכב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הסתיים המרדף והנאשמים נעצרו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מספר מאות מטרים מתחילת המרדף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עם מעצר הנאשמים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נערך חיפוש ברכב ובו נתפס במושב הנוסע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על רצפת הרכב התיק ובו נשק מסוג </w:t>
      </w:r>
      <w:r>
        <w:rPr>
          <w:rFonts w:cs="David" w:ascii="David" w:hAnsi="David"/>
          <w:b/>
          <w:bCs/>
          <w:color w:val="000000"/>
        </w:rPr>
        <w:t>M16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מחסנית ותחמושת מסוג כדור </w:t>
      </w:r>
      <w:r>
        <w:rPr>
          <w:rFonts w:cs="David" w:ascii="David" w:hAnsi="David"/>
          <w:b/>
          <w:bCs/>
          <w:color w:val="000000"/>
        </w:rPr>
        <w:t>5.56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בנוסף לכך נמצא ברכב הטלפון הסלולרי המבצעי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color w:val="000000"/>
          <w:rtl w:val="true"/>
        </w:rPr>
        <w:t>הצדדים הגיעו להסדר 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 הנאשמים הודו והורשעו בכתב האישום 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הוסכם שההגנה תהיה רשאית להגיש את חוות דעת המז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 בעניין הנשק ותמונת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ולטעון על פי מסמכים אלה לעונש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בין הצדדים לא הייתה הסכמה לעניין העונש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-1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ראיות לעונש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חוות דעת מומחה מעבדת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החטיבה לזיהוי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המטה הארצי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 xml:space="preserve">מחוות הדעת עולה שהחפץ דמוי רובה סער </w:t>
      </w:r>
      <w:r>
        <w:rPr>
          <w:rFonts w:cs="David" w:ascii="David" w:hAnsi="David"/>
          <w:color w:val="000000"/>
        </w:rPr>
        <w:t>M16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 xml:space="preserve">הינו רובה אוויר המיועד לירי כדוריות פלסטיק בקוטר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החפץ הוסב לירי תחמושת בקליבר </w:t>
      </w:r>
      <w:r>
        <w:rPr>
          <w:rFonts w:cs="David" w:ascii="David" w:hAnsi="David"/>
          <w:color w:val="000000"/>
        </w:rPr>
        <w:t>5.56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מ ומכיל חלקים של כלי נשק תקני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מכלול של רובה סער </w:t>
      </w:r>
      <w:r>
        <w:rPr>
          <w:rFonts w:cs="David" w:ascii="David" w:hAnsi="David"/>
          <w:color w:val="000000"/>
        </w:rPr>
        <w:t>M16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וקנה בקליבר </w:t>
      </w:r>
      <w:r>
        <w:rPr>
          <w:rFonts w:cs="David" w:ascii="David" w:hAnsi="David"/>
          <w:color w:val="000000"/>
        </w:rPr>
        <w:t>5.56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מדובר בנשק יורה שבכוחו להמית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נבדק בירי עם תחמושת מהמעבדה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סיכום ביקור במחלקה לרפואה דחופה בבית חולים – מיום </w:t>
      </w:r>
      <w:r>
        <w:rPr>
          <w:rFonts w:cs="David" w:ascii="David" w:hAnsi="David"/>
          <w:b/>
          <w:bCs/>
          <w:color w:val="000000"/>
          <w:lang w:eastAsia="he-IL"/>
        </w:rPr>
        <w:t>1.6.19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וסיכום אשפוז מיום </w:t>
      </w:r>
      <w:r>
        <w:rPr>
          <w:rFonts w:cs="David" w:ascii="David" w:hAnsi="David"/>
          <w:b/>
          <w:bCs/>
          <w:color w:val="000000"/>
          <w:lang w:eastAsia="he-IL"/>
        </w:rPr>
        <w:t>20.6.19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 (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נ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/</w:t>
      </w:r>
      <w:r>
        <w:rPr>
          <w:rFonts w:cs="David" w:ascii="David" w:hAnsi="David"/>
          <w:b/>
          <w:bCs/>
          <w:color w:val="000000"/>
          <w:lang w:eastAsia="he-IL"/>
        </w:rPr>
        <w:t>2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) –</w:t>
      </w:r>
      <w:r>
        <w:rPr>
          <w:rFonts w:ascii="David" w:hAnsi="David"/>
          <w:color w:val="000000"/>
          <w:rtl w:val="true"/>
          <w:lang w:eastAsia="he-IL"/>
        </w:rPr>
        <w:t xml:space="preserve">הנאשם </w:t>
      </w:r>
      <w:r>
        <w:rPr>
          <w:rFonts w:cs="David" w:ascii="David" w:hAnsi="David"/>
          <w:color w:val="000000"/>
          <w:lang w:eastAsia="he-IL"/>
        </w:rPr>
        <w:t>1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הוכש ברגלו על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r>
        <w:rPr>
          <w:rFonts w:ascii="David" w:hAnsi="David"/>
          <w:color w:val="000000"/>
          <w:rtl w:val="true"/>
          <w:lang w:eastAsia="he-IL"/>
        </w:rPr>
        <w:t>ידי נחש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התקבל במצב קשה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הורדם והונשם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ואושפז בבית החולים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12788-07-19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אבו סבלאן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11.7.19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>ממנו עולה כי בהסכמת הצדדים שוחררו הנאשמים ממעצר בשלב המעצר לצרכי חקירה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איריס פיקר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הערך החברתי שנפגע בעבירה הוא הגנה על ביטחון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החזקה ונשיאה של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ובעניינו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 רכישת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יוצרות סיכון שהנשק יגיע לגורמים שיעשו בו שימוש למטרות פליליות או ביטחוניות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 נשק על ידי מי שאינו כשיר לכך עלולה להוות סכנה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כשהחומרה הכרוכה בנשיאת נשק מסוג </w:t>
      </w:r>
      <w:r>
        <w:rPr>
          <w:rFonts w:cs="David" w:ascii="David" w:hAnsi="David"/>
          <w:color w:val="000000"/>
        </w:rPr>
        <w:t>M16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 רבה מפני שזהו נשק התקפי בעל פוטנציאל תקיפה 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הפגיעה בערך המוגן היא ברף גבוה יחסית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 עבירת רכישת הנשק נמצאת במדרג הנמוך יותר של 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 אישום של 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לעבירת נשיאת הנשק נוספה עבירה נוספת של נהיגה פזיזה ורשלנית למטרת הימלטות מגורמי אכיפת החוק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העמידה בסיכון עוברי אורח תמימים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 המוגן שנפגע הוא זכות האדם לביטחון על שלמות גופו והגנה על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אך בנס לא נפגעו בני 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הנחיית פרקליט המדינה </w:t>
      </w:r>
      <w:r>
        <w:rPr>
          <w:rFonts w:cs="David" w:ascii="David" w:hAnsi="David"/>
          <w:color w:val="000000"/>
        </w:rPr>
        <w:t>9.16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 אינה מחייבת את בית 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קובעת מתחם מוצא בעבירה של נשיאת נשק מסוג רובה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הנע בין שנתיים וחצי ועד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 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בנוסף לכך בעבירה של נהיגה פזיזה ורשלנית המתחם נע בין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 היוזם של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חלקו רב יותר ובעניינו עתרה המאשימה לעונש של </w:t>
      </w:r>
      <w:r>
        <w:rPr>
          <w:rFonts w:cs="David" w:ascii="David" w:hAnsi="David"/>
          <w:color w:val="000000"/>
        </w:rPr>
        <w:t>3.5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חלקו של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 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והמאשימה עתרה בעניינו לעונש מאסר של שנתיים וחצי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בעניינם של הנאשמים לא הוגש תסקיר שירות המבחן ומכאן שאין מקום לשקול חריגה ממתחם 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 עתרה המאשימה להשית על הנאשמים מאסר על 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 ופסילה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שוקרי ואוזן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אמנם אין מחלוקת שהנאשמים נשאו נשק שיש בכוחו להמית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מדובר בנשק שהתקבל מפורק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פי חוות דעת מז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 מדובר ברובה אוויר שהיה מיועד לירי כדורי פלסטיק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הוסב לרובה סער שמסוגל לירות 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ברור האם הנאשמים יכלו להרכיב את הנשק ואין ראיה לכך שהם התכוונו לעשות כן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הודו בכתב אישום שתוקן באופן 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ועבירת הסחר בנשק שהייתה במקור נמחקה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נעשה שימוש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נגרם נזק מנשיאתו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 ראיה לכך שעבירת הנשק תוכננה לשמש לביצוע עבירה פלילית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 ראיה לכך שהנאשמים בדקו את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 האישום מתאר מסירת חלק מהתמורה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ושווי העסקה כולה אינו ידוע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התיק הועבר לנאשמים בעת שהיה סגור הרמטית והוכנס לרכב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מבלי שהם בדקו את תכולתו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מדובר בנאשמים שיש להם סכסוך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 הורשע בשתי 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הן נבלעות זו בזו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באירוע אחד שנמשך זמן קצר 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 המדובר בנאשמים שנסעו במשך שעות עם נשק 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מחסנית הנשק הייתה ריקה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הנשק לא היה טעון והמחסנית הייתה מחוצה 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הודו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קיבלו אחריות למעשיהם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הביעו צער וחרטה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וחסכו זמן שיפוטי יקר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חלקו של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קטן יותר מחלקו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ישב לצדו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קיבל את התיק והניחו תחת רגליו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כעבור מספר דקות הם נעצרו על ידי המשטרה שהייתה במעקב אחריהם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הם אחים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 לחובתם עבר פלילי מכביד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לחובת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 יחידה מלפני עשור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היו עצורים לצרכי חקירה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ואז שוחררו בהסכמה למעצר 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כעבור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 הם נעצרו בשנית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לאחר שמעורב נוסף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שלבי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נתפס והפליל אותם בעבירת הסחר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בסופו של דבר נמחקה במסגרת ההסדר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 התקופה שבה היו במעצר 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הפרו את תנאי השחרור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 מקשיים הסתגלותיים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סיים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 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קשיים אלה המשיכו גם בבית הסוהר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 הנאשם נחשף ללעג ולהתייחסות פוגענית מצד האסירים האחרים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נוכח מוגבלותו בדיבור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 היום שפעל באופן ילדותי ולא מגובש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טעה בשיקול דעתו וזאת לקידום מצבה הכלכלי של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מדובר במשפחה בה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ההורים התגרשו והילדים נותרו עם אמם 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 קשר עם האב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הלחץ כלכלי בבית הוביל את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עזב את מערכת החינוך לאחר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 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שני האחים גילו קשיים בהסתגלות למעצר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עצורים כבר קרוב לשנה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הטיעונים לעונש נדחו פעמיים בשל מצב החירום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ולכן נותרו הנאשמים בסטטוס של עצורים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של אסירים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 מצב החירום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קיימות הגבלות על ביקורים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ההגנה עותרת להסתפק בתקופת מעצרם של הנאשמים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 שהוא מודה במעשיו ומודע לכך שעשה טעות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רחוק מהמשפחה ומאשתו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 שהוא מודה שעשה טעות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הם השתקמו בבית הסוהר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יחזרו על מעשיהם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 האישום מתאר אירוע אחד מתמשך שתחילתו בעבירת הנשק וסופו בעבירת הנהיגה פוחזת ורשלנית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ומכאן שיש לקבוע בגינו </w:t>
      </w:r>
      <w:r>
        <w:rPr>
          <w:rFonts w:ascii="David" w:hAnsi="David"/>
          <w:b/>
          <w:b/>
          <w:bCs/>
          <w:color w:val="000000"/>
          <w:rtl w:val="true"/>
        </w:rPr>
        <w:t>מתחם עונש הולם 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 xml:space="preserve">הערך החברתי </w:t>
      </w:r>
      <w:r>
        <w:rPr>
          <w:rFonts w:ascii="David" w:hAnsi="David"/>
          <w:color w:val="000000"/>
          <w:rtl w:val="true"/>
        </w:rPr>
        <w:t>אשר נפגע בעבירת נשיאת נשק הוא הגנה על בטחון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 נשק 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מסוג </w:t>
      </w:r>
      <w:r>
        <w:rPr>
          <w:rFonts w:cs="David" w:ascii="David" w:hAnsi="David"/>
          <w:color w:val="000000"/>
        </w:rPr>
        <w:t>M16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שהוא נשק התקפי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יוצרת סיכון שהנשק יגיע בסופו של דבר לגורמים אשר יעשו בו שימוש למטרות 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פליליות או ביטחוניות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פגיעה בגוף או בנפש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color w:val="000000"/>
          <w:rtl w:val="true"/>
        </w:rPr>
        <w:t>בית המשפט העליון חזר והדגיש את מגמת ההחמרה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סוגיהן השונים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 החומרה היתרה שבביצוע עבירות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 בשל הסיכון הממשי לשלום הציבור והפגיעה בערכים המוגנים של שלמות הגוף וחיי 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 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ננקטת מגמת החמרה בענישה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שזו תבטא באופן הולם את פוטנציאל ההרס הרב הגלום בהן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נקבע כי ראוי ונכון להחמיר את מדיניות הענישה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בין היתר כדי להיאבק בתופעה של שימוש גובר בנשק חם כאמצעי ליישוב סכסוכים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ביעור תופעת נשיאת והחזקת כלי נשק בלתי חוקיים הוא אפוא אינטרס ציבורי חשוב ותנאי הכרחי למאבק בתופעות הפשיעה האלימה לסוגיה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 לעשות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באמצעות ענישה מחמירה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למשל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גרוסקופף 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הוארי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25.11.19</w:t>
      </w:r>
      <w:r>
        <w:rPr>
          <w:rFonts w:cs="David" w:ascii="David" w:hAnsi="David"/>
          <w:color w:val="000000"/>
          <w:rtl w:val="true"/>
        </w:rPr>
        <w:t>]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השופטים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ומ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מזוז 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סובח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5.11.19</w:t>
      </w:r>
      <w:r>
        <w:rPr>
          <w:rFonts w:cs="David" w:ascii="David" w:hAnsi="David"/>
          <w:color w:val="000000"/>
          <w:rtl w:val="true"/>
        </w:rPr>
        <w:t>]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שטיין 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נבארי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2.7.20</w:t>
      </w:r>
      <w:r>
        <w:rPr>
          <w:rFonts w:cs="David" w:ascii="David" w:hAnsi="David"/>
          <w:color w:val="000000"/>
          <w:rtl w:val="true"/>
        </w:rPr>
        <w:t>]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הערכים החברתיים אשר נפגעו בעבירת מעשה פזיזות ורשלנות ברכב הם סיכון חייהם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שלומם ורכושם של המשתמשים בדרך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ופגיעה בתחושת הביטחון של הציבור ושל גורמי אכיפת החוק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הימלטות משוטרים אשר מובילה למרדפים בכבישי ישראל פוגעת קשות בביטחון 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בביטחון גורמי אכיפת החוק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ומסכנת באופן משמעותי את הביטחון האישי של המשתמשים בדרך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תופעת הנהיגה הפראית במהלך מרדפים עם המשטרה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הפרה גסה של חוקי התנועה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יוצרת סיכון רב וחמור לכל הנוסעים בדרכים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ופוגעת בסדר הציבורי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תופעה 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 מבטאת זלזול מופגן ובוטה בגורמי אכיפת החוק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והעדר מורא החוק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במקרים של מנוסה מרשויות החוק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הערכים החברתיים כוללים גם את יכולתן של הרשויות לאכוף את החוק ולהביא עבריינים לדין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 כך קיים צורך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להטיל ענישה מחמירה בגין עבירות אלה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ראו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7798/08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שביקוב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22.1.09</w:t>
      </w:r>
      <w:r>
        <w:rPr>
          <w:rFonts w:cs="David" w:ascii="David" w:hAnsi="David"/>
          <w:color w:val="000000"/>
          <w:rtl w:val="true"/>
        </w:rPr>
        <w:t xml:space="preserve">] </w:t>
      </w:r>
      <w:r>
        <w:rPr>
          <w:rFonts w:ascii="David" w:hAnsi="David"/>
          <w:color w:val="000000"/>
          <w:rtl w:val="true"/>
        </w:rPr>
        <w:t>ו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4763/17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ותד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29.1.18</w:t>
      </w:r>
      <w:r>
        <w:rPr>
          <w:rFonts w:cs="David" w:ascii="David" w:hAnsi="David"/>
          <w:color w:val="000000"/>
          <w:rtl w:val="true"/>
        </w:rPr>
        <w:t xml:space="preserve">];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2519/14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29.12.14</w:t>
      </w:r>
      <w:r>
        <w:rPr>
          <w:rFonts w:cs="David" w:ascii="David" w:hAnsi="David"/>
          <w:rtl w:val="true"/>
        </w:rPr>
        <w:t>])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 xml:space="preserve">מידת הפגיעה בערך המוגן </w:t>
      </w:r>
      <w:r>
        <w:rPr>
          <w:rFonts w:ascii="David" w:hAnsi="David"/>
          <w:color w:val="000000"/>
          <w:rtl w:val="true"/>
        </w:rPr>
        <w:t>מובילה למסקנה כי הפגיעה היא ברף בינוני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רכש רובה סער מסוג </w:t>
      </w:r>
      <w:r>
        <w:rPr>
          <w:rFonts w:cs="David" w:ascii="David" w:hAnsi="David"/>
          <w:color w:val="000000"/>
        </w:rPr>
        <w:t>M16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משטחי איו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 והביאו לישראל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שהנאשמים נשאו אותו ברכבם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יש לתת את הדעת לכך שהנאשמים הורשעו בעבירה של 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העונש המרבי הקבוע בצידה הוא של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שהיא חמורה יותר מעבירה של החזקת נשק אשר העונש הקבוע בצידה הוא של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 מדובר בעבירה קלה יותר מעבירה של סחר 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 אף בעבירה של רכישת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יש לתת את הדעת לכך שעסקינן בנשיאה של כלי נשק מסוג רובה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שהיא חמורה יותר מאשר עבירה בנשק מסוג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פוטנציאל הנזק הרב יותר של רובה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העברת הנשק משטחי איו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 לשטח מדינת ישראל מחמירה את הפגיעה בערך המוגן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מידת הפגיעה בערך המוגן בעבירת מעשה פזיזות ורשלנות ברכב היא ברף 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הנאשמים נמלטו מהשוטרים בנסיעה המהירה תוך שסיכנו את השוטר שאחז דרך חלון הרכב בחולצתו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זגזגו בין נתיבים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עלו על שולי הכביש ואף נצמדו לרכב משטרתי עד אשר נאלץ לפגוע במעקה הבטיחות כדי להימנע מתאונה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המרדף התקיים לאורך מספר מאות מטרים בלבד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הנסיבות הקשורות בביצוע העבירה </w:t>
      </w:r>
      <w:r>
        <w:rPr>
          <w:rFonts w:cs="David" w:ascii="David" w:hAnsi="David"/>
          <w:color w:val="000000"/>
          <w:rtl w:val="true"/>
        </w:rPr>
        <w:t>(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יש לתת את הדעת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שילם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שילם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לשטח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הפוטנציאלי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בשגגה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מפורק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ובצדו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וכדור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מלכתחילה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אוויר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הוסב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תחמושת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בקליבר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5.56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והכיל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</w:t>
      </w:r>
      <w:r>
        <w:rPr>
          <w:color w:val="000000"/>
        </w:rPr>
        <w:t>M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הפוטנציאלי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 רב וכולל סיכון משמעותי לפגיעה במשתמשי הדרך ובשוטרים שניסו לעצרם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הסיבה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שטענו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קידום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רצונם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להימלט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מהמשטרה</w:t>
      </w:r>
      <w:r>
        <w:rPr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בשלב בחינת מדיניות הענישה הנוהגת יש לתת את הדעת לדבריה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ברון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אזברגה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18.07.19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991" w:end="709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משפט זה עמד בשורה ארוכה של פסקי דין על חומרתן הרבה של עבירות הנשק ועל הסכנה הגבוהה במיוחד לשלום הציבור וביטחונו הטמונה בנשיאה והחזקה של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קיימת בפסיקה מגמת החמרה ברמת הענישה של המעורבים בעבירות נשק תוך מתן ביטוי עונשי הולם לסכנה הנשקפת מהן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וזאת במטרה להרתיע את היחיד והרבים גם יחד מפני ביצוען</w:t>
      </w:r>
      <w:r>
        <w:rPr>
          <w:rFonts w:cs="David" w:ascii="David" w:hAnsi="David"/>
          <w:color w:val="000000"/>
          <w:rtl w:val="true"/>
        </w:rPr>
        <w:t>..."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>מדיניות הענישה הנוהגת</w:t>
      </w:r>
      <w:r>
        <w:rPr>
          <w:rFonts w:ascii="David" w:hAnsi="David"/>
          <w:color w:val="000000"/>
          <w:rtl w:val="true"/>
        </w:rPr>
        <w:t xml:space="preserve"> מעלה כי במקרים דומים הוטלו על נאשמים עונשי מאסר במנעד רחב כמפורט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  <w:tab w:val="left" w:pos="1740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4530/19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זאווי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11.8.19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ערעורו של נאשם אשר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בעבירה של נשיאת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אביזר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פריצה לרכב בכוונה לבצע גניבה וגניבה מרכב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פרץ לרכב וגנב ממנו 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מקוצר ונסע עמו לאזור מזרח 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 ללא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לא הושב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שנע 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  <w:tab w:val="left" w:pos="1740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6347/17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מגאהד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2.1.18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 נאשם אשר הורשע על פי הודאתו בעבירות של קשירת קשר לביצוע פשע והובלת נשק ואביזר לנשק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קשר עם אחר להעברת נשק מהעיר שכם לשטחי מדינת ישראל בתמורה כספית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ברכב למחסום בצומת תפוח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ובבדיקה נתפס רובה סער דמוי </w:t>
      </w:r>
      <w:r>
        <w:rPr>
          <w:rFonts w:cs="David" w:ascii="David" w:hAnsi="David"/>
        </w:rPr>
        <w:t>M-4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בעל עבר פלילי לא מכביד נדון לעונש 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הפנה לחומרת העבירה ודחה את הערעור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  <w:tab w:val="left" w:pos="1740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3336/18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סמארה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29.11.18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בית המשפט העליון קיבל את ערעור המדינה והחמיר את עונשו של נאשם אשר הורשע על פי הודאתו בעבירה של נשיאת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נשא ברכבו שני רובי קרל גוסטב 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נסעו אחרי רכב הנאשם וכרזו לו לעצור ובעקבות כך הנאשם החל בנסיעה מהירה וכשהגיע לדרך ללא מוצא – 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בעל עבר פלילי ישן נדון לעונש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rtl w:val="true"/>
        </w:rPr>
        <w:t>ב</w:t>
      </w:r>
      <w:hyperlink r:id="rId28">
        <w:r>
          <w:rPr>
            <w:rStyle w:val="Hyperlink"/>
            <w:rFonts w:ascii="David" w:hAnsi="David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color w:val="0000FF"/>
            <w:u w:val="single"/>
          </w:rPr>
          <w:t>3156/11</w:t>
        </w:r>
      </w:hyperlink>
      <w:r>
        <w:rPr>
          <w:rFonts w:cs="David" w:ascii="David" w:hAnsi="David"/>
          <w:bCs/>
          <w:rtl w:val="true"/>
        </w:rPr>
        <w:t xml:space="preserve"> </w:t>
      </w:r>
      <w:r>
        <w:rPr>
          <w:rFonts w:ascii="David" w:hAnsi="David"/>
          <w:bCs/>
          <w:rtl w:val="true"/>
        </w:rPr>
        <w:t>זראיעה נ</w:t>
      </w:r>
      <w:r>
        <w:rPr>
          <w:rFonts w:cs="David" w:ascii="David" w:hAnsi="David"/>
          <w:bCs/>
          <w:rtl w:val="true"/>
        </w:rPr>
        <w:t xml:space="preserve">' </w:t>
      </w:r>
      <w:r>
        <w:rPr>
          <w:rFonts w:ascii="David" w:hAnsi="David"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21.2.12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ערעורו של נאשם אשר הורשע בעבירות של נשיאה והובלת נשק והסתייעות ברכב לביצוע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נסע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שהסליק בו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טעונה בכדורי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וקופסאות עם כדורי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והתחמושת נתפסו בחיפוש שגרתי שביצעה המשטרה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מנהל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ומפרנס יחיד 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  <w:tab w:val="left" w:pos="1740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3632/14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סבית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8.12.14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ערעורו של נאשם אשר הורשע בעבירה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נשא ברכבו תיק ובו תת מקלע מאולתר ובו מחסנית וכדור בקנה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שקיבל את התיק עם הנשק מאחר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לנאשם לא הייתה ידיעה בדבר הימצאות המחסנית והכדור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שהרכב נחסם על ידי ניידת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נמלט מהרכב עם התיק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שבין </w:t>
      </w:r>
      <w:r>
        <w:rPr>
          <w:rFonts w:ascii="David" w:hAnsi="David"/>
          <w:b/>
          <w:b/>
          <w:bCs/>
          <w:rtl w:val="true"/>
        </w:rPr>
        <w:t>שנה לשלוש 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b/>
          <w:bCs/>
        </w:rPr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47284-06-18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3.4.19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49416-04-18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קרינאוי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22.11.18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בכל הנוגע למדיניות הענישה הנוהגת בעבירה של </w:t>
      </w:r>
      <w:r>
        <w:rPr>
          <w:rFonts w:ascii="David" w:hAnsi="David"/>
          <w:b/>
          <w:b/>
          <w:bCs/>
          <w:color w:val="000000"/>
          <w:rtl w:val="true"/>
        </w:rPr>
        <w:t>מעשה פזיזות ורשלנות ברכב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 שבמקרים דומים הוטלו על נאשמים עונשי מאסר בפועל במנעד רחב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כך למשל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3802/10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אלון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26.10.10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נדון הנאשם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5714/13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חמד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28.10.13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נדון הנאשם לעונש של שנתיים מאסר בפועל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כולל הפעלת מאסר על תנאי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10476/09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 סביח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6.10.10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נדון הנאשם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437/08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18.6.08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נדון הנאשם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2264/15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עביד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22.11.15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נדון הנאשם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8116/10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 עמאר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10.3.11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נדון הנאשם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סאבר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9.2.14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נדון הנאשם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בהתאם לתיקון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4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יג</w:t>
        </w:r>
      </w:hyperlink>
      <w:r>
        <w:rPr>
          <w:rFonts w:cs="David" w:ascii="David" w:hAnsi="David"/>
          <w:color w:val="000000"/>
          <w:rtl w:val="true"/>
        </w:rPr>
        <w:t xml:space="preserve">'), </w:t>
      </w:r>
      <w:r>
        <w:rPr>
          <w:rFonts w:ascii="David" w:hAnsi="David"/>
          <w:color w:val="000000"/>
          <w:rtl w:val="true"/>
        </w:rPr>
        <w:t xml:space="preserve">אני קובע כי </w:t>
      </w:r>
      <w:r>
        <w:rPr>
          <w:rFonts w:ascii="David" w:hAnsi="David"/>
          <w:b/>
          <w:b/>
          <w:bCs/>
          <w:color w:val="000000"/>
          <w:rtl w:val="true"/>
        </w:rPr>
        <w:t>מתחם העונש 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בעניינו של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הוא החל 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30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 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5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 xml:space="preserve">מתחם העונש ההולם בעניינו של הנאשם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הוא החל 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 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קיימים שיקולים אשר מצדיקים חריגה 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 או לקולה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בעניינם של הנאשמים לא הוגש תסקיר שירות המבחן ולא הוגשו ראיות לכך ששולבו בטיפול או בהליך שיקום במסגרת מעצרם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לנאשמים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יא</w:t>
        </w:r>
      </w:hyperlink>
      <w:r>
        <w:rPr>
          <w:color w:val="000000"/>
          <w:rtl w:val="true"/>
        </w:rPr>
        <w:t xml:space="preserve">').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36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נפשות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כשההורים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התגרשו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מצבה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כקשה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סובל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הסתגלותיים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החינוך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עזב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בהסתגלות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למעצר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חשוף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ללעג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ולהתייחסות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פוגענית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מגבלתו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בדיבור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נמחקה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התעבורתי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2008-2019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תעבורה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2018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גניבה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התעבורתי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2006-2013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שוחררו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ממעצרם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חקירה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ונעצרו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 יש לתת את הדעת לשיקול ההרתעה בגדרו של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וזאת בשים לב לפסיקת בית המשפט העליון בדבר הצורך בהרתעה והעדפת האינטרס הציבורי על הנסיבות האישיות של העבריין </w:t>
      </w:r>
      <w:r>
        <w:rPr>
          <w:rFonts w:cs="David" w:ascii="David" w:hAnsi="David"/>
          <w:color w:val="000000"/>
          <w:rtl w:val="true"/>
        </w:rPr>
        <w:t>(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2718/04</w:t>
        </w:r>
      </w:hyperlink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אבו דאחל נ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מדינת ישראל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[</w:t>
      </w:r>
      <w:r>
        <w:rPr>
          <w:rFonts w:cs="David" w:ascii="David" w:hAnsi="David"/>
          <w:color w:val="000000"/>
          <w:lang w:eastAsia="he-IL"/>
        </w:rPr>
        <w:t>29.3.04</w:t>
      </w:r>
      <w:r>
        <w:rPr>
          <w:rFonts w:cs="David" w:ascii="David" w:hAnsi="David"/>
          <w:color w:val="000000"/>
          <w:rtl w:val="true"/>
          <w:lang w:eastAsia="he-IL"/>
        </w:rPr>
        <w:t>]).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עקרון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האחידות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יזם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תיאם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לשטח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הרלוונטי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רשלני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ופזיז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התלווה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שנסע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שקיבלו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ורשלנות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 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הנני גוזר על הנאשם </w:t>
      </w:r>
      <w:r>
        <w:rPr>
          <w:rFonts w:cs="David" w:ascii="David" w:hAnsi="David"/>
          <w:b/>
          <w:bCs/>
          <w:color w:val="000000"/>
          <w:u w:val="single"/>
        </w:rPr>
        <w:t>1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3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/>
        <w:t>4.7.19-11.7.19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29.7.19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1.1.21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מובהר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השחרור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 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הנני גוזר על הנאשם </w:t>
      </w:r>
      <w:r>
        <w:rPr>
          <w:rFonts w:cs="David" w:ascii="David" w:hAnsi="David"/>
          <w:b/>
          <w:bCs/>
          <w:color w:val="000000"/>
          <w:u w:val="single"/>
        </w:rPr>
        <w:t>2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2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/>
        <w:t>4.7.19-11.7.19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29.7.19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1.1.21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תמוז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1203-08-19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היסאם אבו סבלאן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David" w:hAnsi="David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ascii="David" w:hAnsi="David" w:cs="David"/>
      <w:b w:val="false"/>
      <w:bCs w:val="false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38.a.1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8.a.1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case/25840643" TargetMode="External"/><Relationship Id="rId17" Type="http://schemas.openxmlformats.org/officeDocument/2006/relationships/hyperlink" Target="http://www.nevo.co.il/case/25940943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case/26492590" TargetMode="External"/><Relationship Id="rId20" Type="http://schemas.openxmlformats.org/officeDocument/2006/relationships/hyperlink" Target="http://www.nevo.co.il/case/6113286" TargetMode="External"/><Relationship Id="rId21" Type="http://schemas.openxmlformats.org/officeDocument/2006/relationships/hyperlink" Target="http://www.nevo.co.il/case/22790672" TargetMode="External"/><Relationship Id="rId22" Type="http://schemas.openxmlformats.org/officeDocument/2006/relationships/hyperlink" Target="http://www.nevo.co.il/case/13101134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case/25612982" TargetMode="External"/><Relationship Id="rId25" Type="http://schemas.openxmlformats.org/officeDocument/2006/relationships/hyperlink" Target="http://www.nevo.co.il/case/25836997" TargetMode="External"/><Relationship Id="rId26" Type="http://schemas.openxmlformats.org/officeDocument/2006/relationships/hyperlink" Target="http://www.nevo.co.il/case/22908754" TargetMode="External"/><Relationship Id="rId27" Type="http://schemas.openxmlformats.org/officeDocument/2006/relationships/hyperlink" Target="http://www.nevo.co.il/case/24140726" TargetMode="External"/><Relationship Id="rId28" Type="http://schemas.openxmlformats.org/officeDocument/2006/relationships/hyperlink" Target="http://www.nevo.co.il/case/5878682" TargetMode="External"/><Relationship Id="rId29" Type="http://schemas.openxmlformats.org/officeDocument/2006/relationships/hyperlink" Target="http://www.nevo.co.il/case/16944929" TargetMode="External"/><Relationship Id="rId30" Type="http://schemas.openxmlformats.org/officeDocument/2006/relationships/hyperlink" Target="http://www.nevo.co.il/case/21771409" TargetMode="External"/><Relationship Id="rId31" Type="http://schemas.openxmlformats.org/officeDocument/2006/relationships/hyperlink" Target="http://www.nevo.co.il/case/24269595" TargetMode="External"/><Relationship Id="rId32" Type="http://schemas.openxmlformats.org/officeDocument/2006/relationships/hyperlink" Target="http://www.nevo.co.il/case/7791493" TargetMode="External"/><Relationship Id="rId33" Type="http://schemas.openxmlformats.org/officeDocument/2006/relationships/hyperlink" Target="http://www.nevo.co.il/case/24319926" TargetMode="External"/><Relationship Id="rId34" Type="http://schemas.openxmlformats.org/officeDocument/2006/relationships/hyperlink" Target="http://www.nevo.co.il/case/23892410" TargetMode="External"/><Relationship Id="rId35" Type="http://schemas.openxmlformats.org/officeDocument/2006/relationships/hyperlink" Target="http://www.nevo.co.il/case/5917214" TargetMode="External"/><Relationship Id="rId36" Type="http://schemas.openxmlformats.org/officeDocument/2006/relationships/hyperlink" Target="http://www.nevo.co.il/case/7961945" TargetMode="External"/><Relationship Id="rId37" Type="http://schemas.openxmlformats.org/officeDocument/2006/relationships/hyperlink" Target="http://www.nevo.co.il/case/6170713" TargetMode="External"/><Relationship Id="rId38" Type="http://schemas.openxmlformats.org/officeDocument/2006/relationships/hyperlink" Target="http://www.nevo.co.il/case/6245594" TargetMode="External"/><Relationship Id="rId39" Type="http://schemas.openxmlformats.org/officeDocument/2006/relationships/hyperlink" Target="http://www.nevo.co.il/case/20149284" TargetMode="External"/><Relationship Id="rId40" Type="http://schemas.openxmlformats.org/officeDocument/2006/relationships/hyperlink" Target="http://www.nevo.co.il/case/6121286" TargetMode="External"/><Relationship Id="rId41" Type="http://schemas.openxmlformats.org/officeDocument/2006/relationships/hyperlink" Target="http://www.nevo.co.il/case/7897103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jc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case/5852404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2021-10-03T12:21:00Z</dcterms:created>
  <dc:creator> </dc:creator>
  <dc:description/>
  <cp:keywords/>
  <dc:language>en-IL</dc:language>
  <cp:lastModifiedBy>h1</cp:lastModifiedBy>
  <dcterms:modified xsi:type="dcterms:W3CDTF">2021-10-03T12:21:00Z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היסאם אבו סבלאן;מחמד אבו סבלאן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25840643;25940943;25824863;26492590;6113286;22790672;13101134;25612982;25836997;22908754;24140726;5878682;16944929;21771409;24269595;7791493;24319926;23892410;5917214;7961945;6170713;6245594;20149284;6121286;7897103;5852404</vt:lpwstr>
  </property>
  <property fmtid="{D5CDD505-2E9C-101B-9397-08002B2CF9AE}" pid="9" name="CITY">
    <vt:lpwstr>מרכז</vt:lpwstr>
  </property>
  <property fmtid="{D5CDD505-2E9C-101B-9397-08002B2CF9AE}" pid="10" name="DATE">
    <vt:lpwstr>20200707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70301/144.b;029:2;338.a.1;144.a;040i;40jc;40ja</vt:lpwstr>
  </property>
  <property fmtid="{D5CDD505-2E9C-101B-9397-08002B2CF9AE}" pid="15" name="LAWYER">
    <vt:lpwstr>איריס פיקר;שוקרי ואוזן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1203</vt:lpwstr>
  </property>
  <property fmtid="{D5CDD505-2E9C-101B-9397-08002B2CF9AE}" pid="22" name="NEWPARTB">
    <vt:lpwstr>08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390020200707</vt:lpwstr>
  </property>
  <property fmtid="{D5CDD505-2E9C-101B-9397-08002B2CF9AE}" pid="34" name="TYPE_N_DATE">
    <vt:lpwstr>39020200707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