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12035-06-20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אגבאריה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99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8"/>
        <w:gridCol w:w="4676"/>
        <w:gridCol w:w="4349"/>
      </w:tblGrid>
      <w:tr>
        <w:trPr>
          <w:trHeight w:val="286" w:hRule="atLeast"/>
        </w:trPr>
        <w:tc>
          <w:tcPr>
            <w:tcW w:w="888" w:type="dxa"/>
            <w:tcBorders/>
          </w:tcPr>
          <w:p>
            <w:pPr>
              <w:pStyle w:val="Normal"/>
              <w:ind w:end="-143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902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70" w:leader="none"/>
              </w:tabs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תמר נאות פרי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Times New Roman"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Arial (W1);Arial" w:ascii="Arial (W1);Arial" w:hAnsi="Arial (W1);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אגבאריה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46" w:hRule="atLeast"/>
        </w:trPr>
        <w:tc>
          <w:tcPr>
            <w:tcW w:w="88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467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4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כתב האישום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נגד הנאשם הוגש כתב אישום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firstLine="636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מתגורר בבית ביישוב אום אל פחם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באזור המיושב בצפיפות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הבניין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23.5.2020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20:00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ונשא הנאשם רובה סער מסוג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שסוגל לירות כדור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שתי מחסניות מתאימות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המהוות אביזר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עשרות כדורי תחמושת מתאימה מסוג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>",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התחמושת</w:t>
      </w:r>
      <w:r>
        <w:rPr>
          <w:rFonts w:cs="David" w:ascii="David" w:hAnsi="David"/>
          <w:sz w:val="24"/>
          <w:szCs w:val="24"/>
          <w:rtl w:val="true"/>
        </w:rPr>
        <w:t xml:space="preserve">" -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בלא רשות על פי דין להחזקתם ולנשיאתם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במועד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על גג הבניין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הגג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ירה הנאשם מהנשק עשרות כדורים מהתחמושת שהייתה ברשותו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 ובמקום שיש בירי כדי לסכן חיי אדם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0" w:name="ABSTRACT_END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בהתאם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יוחסו לנאשם עבירת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ונשיאת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לפי </w:t>
      </w:r>
      <w:hyperlink r:id="rId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8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>סיפא ל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");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ירי מנשק 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כפר בעבירות שיוחסו לו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הכרעת הדין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בהכרעת הדין מיום </w:t>
      </w:r>
      <w:r>
        <w:rPr>
          <w:rFonts w:cs="David" w:ascii="David" w:hAnsi="David"/>
          <w:sz w:val="24"/>
          <w:szCs w:val="24"/>
        </w:rPr>
        <w:t>20.12.2020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זוכה הנאשם מעבירת נשיאת והחזקת נשק לגבי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חלק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מאביזרי הנשק המוזכרים בכתב האישום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וליתר דיוק – מחסנית אחת שנמצאה על הגג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התחמושת שנמצאה בחדרון שעל הגג ושקית ובה תחמושת נוספת שנמצאה בסמוך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אך הורשע בהחזקה ונשיאה של הנשק ושל אחת מהמחסניות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בעבירה של ירי מנשק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הראיות לעונש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שני הצדדים לא הציגו ראיות לעונש ומוסכם כי לנאשם אין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תסקיר שירות המבחן למבוגרים –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מהתסקיר עולה כי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 ומתגורר בבית הוריו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כי מצא את הנשק על הגג וטען כי אינו יודע כיצד הנשק הגיע לשם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עוד ציין כי ירה בנשק מתוך תחושת סקרנות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הנאשם נוטה להפחית מחומרת מעשיו וכי הוא מוסר מידע חלקי ומתומצת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יכולת להתבוננות ביקורתית ומעמיקה לגבי הבעייתיות שבהתנהגותו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וניכר כי אינו מבין היטב את השלכות מעשיו וחומרתם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עוד התרשם כי הנאשם נעדר בשלות רגשית ובעל דפוסי חשיבה ילדותיים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ביצוע העבירות משקף התנהגות אימפולסיבית וסקרנית מתוך רצון לאמץ לעצמו דפוסי התנהגות שיתכן ומייחס להם תחושת כוח וגבריות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מצוין כי הנאשם גדל בבית בעל ערכים נורמטיביים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שולל התנהגות בעייתית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קיים פער בין הצגת תפקודו התקין של הנאשם לבין מעורבותו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לגבי גורמי הסיכון להישנות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הדגש היה על חומרת התנהגותו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המידע המצומצם שמסר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הקושי של הנאשם  להעמיק ולפרט את המניעים שהובילו אותו לכדי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חוסר בשלותו ונטייתו של הנאשם להתנהגות אימפולסיבית וילדותית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מרכיבי הסיכוי לשיקום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נלקחה בחשבון העובדה כי הנאשם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התרשמות שירות המבחן כי ההליך המשפטי המתנהל כנגד הנאשם מהווה עבורו הרתעה ומציב בפניו גבול ברור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כי קיים סיכון נמוך להישנות התנהגות דומה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בסיכום התסקיר – התרשם שירות המבחן כי הנאשם אינו יכול להסתייע בטיפול במסגרת שירות המבחן בעיתוי זה ולפיכך אין המלצה טיפולית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נכתב כי הנאשם זקוק לענישה משמעותית ומרתיעה שתחדד עבורו את חומרת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וההמלצה הינה כי במסגרת הענישה יילקח בחשבון גילו הצעיר של הנאשם והעובדה כי הוא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טענות המאשימה לעונש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הגיש טיעון לעונש כתוב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סומן מא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והשלים טיעוניו בעל 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לקבוע מתחם ענישה שנע 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ולמקם את עונשו של הנאשם באמצע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 לב לעוצמתו של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משך הירי הממושך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כמות התחמושת הרבה שנורתה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 שנגרם לתושבי האזור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המורא שחשו המתלוננים שדיווחו למשטרה אודות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היקף הרדיוס בו נשמעו אותם צרורות ירי ממושכים והקרבה של מקום הירי לבית הספר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המוקם באמצע שכונת המגורים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כי יש לקחת בחשבון את העובדה שהנאשם לא לקח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הנאשם אמנם הודה בפני עורכת התסקיר כי הוא זה שביצע את המעשים אולם 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הפחית מחומרת מעשיו בכך שציין כי מצא את הנשק על הגג וירה בו מתוך סקרנות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שהודאת הנאשם בפני שירות המבחן בביצוע המעשים הינה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מס שפתיים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הפנה לתסקיר אשר המליץ על ענישה משמעותית ומרתיעה וכן הפנה לפסיקה אשר פורטה בטיעון לעונש הכתוב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טענות ההגנה לעונש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ביקש להתחשב בעת גזירת דינו של הנאשם בעובדה כי  הנאשם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1999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נכנס לקטגוריה של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בגיר צעיר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הפנה לפסק דין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7781/12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25.6.2013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קיימת סקירה אודות נאשמים המכונים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בגירים צעירים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לגיל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התבקש להקל בעונש נוכח האמור באותו פסק דין לגבי שיקול הדעת של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הבגירים הצעירים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שלעיתים מגלים פזיזות וחוסר בשלות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הפסיקה שאלי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בטיעוניו אינה מתאימה לענייננו מאחר ושם דובר על נאשמים בגירים והשיקולים לגבי ענישה של בגירים שונים מהשיקולים לגבי בגירים צעירים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נטען כי בחלק מהפסיקה שהציג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דובר על נאשמים בעלי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שהו במעצר בפועל עד תום ההליכים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כאן מדובר על נאשם נעדר עבר פלילי אשר שהה במעצר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לא במעצר באיזוק אלקטרוני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ביקש שלא לזקוף לחובת הנאשם את העובדה כי בחר לנהל את ההליך הפלילי וזאת מהסיבה כי הנאשם זוכה מחלק מהעבירות שיוחסו לו לגבי חלק מאביזרי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 גם שמדובר בתיק המבוסס על ראיות נסיבתיות והיה מקום לנהל את  ההליך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נטען כי בעת גזירת עונשו של הנאשם יש לשקול את העובדה כי הנאשם נשא את הנשק נשיאה קצרה והשתמש בו שימוש רגעי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הנשק נתפס ולא נגרם כל נזק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אף הדגיש כי מדובר בנאשם המנהל אורח חיים נורמטיבי ועוזר בפרנסת משפחתו ואף הוגשו תלושי שכר של הנאשם וגיליון ציונים שלו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סומנו נא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ביקש להגיש שישה מסמכים הכוללים המלצות שונות שקיבל הנאשם וכן אישורים בדבר התנדבותו במוסדות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אף נדרש להציג בפני שירות המבחן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יוער כי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התנגד להגשת המסמכים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לאחר שקילת טיעוני הצדדים מצאתי לקבלם לתיק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לקבוע מתחם הנע בין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לבין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ולהשית על הנאשם עונש של תשעה חודשי מאסר אשר ירוצו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עשרה ימים בהם היה עצור מיום </w:t>
      </w:r>
      <w:r>
        <w:rPr>
          <w:rFonts w:cs="David" w:ascii="David" w:hAnsi="David"/>
          <w:sz w:val="24"/>
          <w:szCs w:val="24"/>
        </w:rPr>
        <w:t>23.5.2020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יום </w:t>
      </w:r>
      <w:r>
        <w:rPr>
          <w:rFonts w:cs="David" w:ascii="David" w:hAnsi="David"/>
          <w:sz w:val="24"/>
          <w:szCs w:val="24"/>
        </w:rPr>
        <w:t>2.6.2020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ציין כי מיום </w:t>
      </w:r>
      <w:r>
        <w:rPr>
          <w:rFonts w:cs="David" w:ascii="David" w:hAnsi="David"/>
          <w:sz w:val="24"/>
          <w:szCs w:val="24"/>
        </w:rPr>
        <w:t>2.6.2020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היום נמצא הנאשם במעצר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במהלך תקופה זו לא נרשמו לחובת הנאשם הפרות כלשהן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השתת מאסר בפועל על הנאשם לתקופה ממושכת תזיק לנאשם ויש להימנע מכך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דיון והכרעה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אירוע בודד או מספר אירועים –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עסקינן באירוע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במהלכו ביצע הנאשם את מכלול המעשים נשוא כתב 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מתחם הענישה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נזכיר כי הנאשם הורשע בכך שהחזיק ונשא מחסנית ונשק מסוג </w:t>
      </w:r>
      <w:r>
        <w:rPr>
          <w:rFonts w:cs="David" w:ascii="David" w:hAnsi="David"/>
        </w:rPr>
        <w:t>M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וירה בנשק בהיותו על גג הבניין בו הוא מתגורר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עשרות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סיכון חיי אדם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הערכים שנפגעו 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מביצוע העבירות הינם הפגיעה בשלום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בביטחונו ובתחושת הביטחון ואף פגיעה בסדר הציבורי – והדברים ברורים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נסיבות הקשורות בביצוע העבירה 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לסוגיית התכנון המקדים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לקבוע בוודאות אם עסקינן במעשים אשר הינם פרי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מעשים רגעיים וספונטניים אשר במהלכם החליט הנאשם לירות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 אופן נתון זה לא היה חלק מכתב האישום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כך שנצא מנקודת ההנחה המקלה עם הנאשם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לנזק שנגרם מביצוע העבירות –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וקל וחומר – עבירת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טומנות בחובן פוטנציאל למסוכנות מוחשית וממשית לשלום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שהוכח במהלך הצגת הראיות – המדובר היה בערב חג ובמועד הרלבנטי נשמעו יריות רבות מכמה מוקדי ירי ברחבי היישוב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והמתלוננים שהתקשרו למשטרה לדווח על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דיווחו על עוד יריות ממקומות נוספים ומכיוונים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למרבה המזל לא נגרמה פגיעה ולא נגרם נזק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מעבר למורא שהטיל הנאשם במעשיו על אותם אנשים אשר התלוננו על הירי שנשמע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אין בכך כדי להפחית מפוטנציאל הנזק שקיים מירי מגג של בניין מגורים בסביבת מגורים צפופה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מדיניות הענישה הנוהגת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נפסק לא אחת כי חומרתן של עבירות הנשק בכך שהן מקימות סיכון ממשי וחמור לציבור ויוצרות פוטנציאל להסלמה 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נפסק כי חומרה זו מחייבת ליתן ביטוי עונשי באמצעות הרחקת מבצעי העבירות לתקופת מאסר ממשית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הבהיר עוד בפסיקתו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במספר הזדמנויות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הגיעה העת להחמיר בעבירות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ראו את 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2564/19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אזברגה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27.6.2019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לאמור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Style15"/>
        <w:spacing w:before="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קיימת בפסיקה מגמת החמרה ברמת הענישה של המעורבים בעבירות נשק תוך מתן ביטוי עונשי הולם לסכנה הנשקפת מהן</w:t>
      </w:r>
      <w:r>
        <w:rPr>
          <w:rtl w:val="true"/>
        </w:rPr>
        <w:t xml:space="preserve">; </w:t>
      </w:r>
      <w:r>
        <w:rPr>
          <w:rtl w:val="true"/>
        </w:rPr>
        <w:t>וזאת במטרה להרתיע את היחיד והרבים גם יחד מפני ביצוען</w:t>
      </w:r>
      <w:r>
        <w:rPr>
          <w:rtl w:val="true"/>
        </w:rPr>
        <w:t xml:space="preserve">. </w:t>
      </w:r>
      <w:r>
        <w:rPr>
          <w:rtl w:val="true"/>
        </w:rPr>
        <w:t>ברירת המחדל בעבירות נשק היא אפוא מאסר בפועל גם כאשר הנאשם נעדר עבר פלילי</w:t>
      </w:r>
      <w:r>
        <w:rPr>
          <w:rtl w:val="true"/>
        </w:rPr>
        <w:t>...";</w:t>
      </w:r>
    </w:p>
    <w:p>
      <w:pPr>
        <w:pStyle w:val="ListParagraph"/>
        <w:spacing w:lineRule="auto" w:line="360" w:before="0" w:after="120"/>
        <w:ind w:firstLine="636"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וכן את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5330/20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ענבתאוי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22.11.2020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Style1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בלב הדברים</w:t>
      </w:r>
      <w:r>
        <w:rPr>
          <w:rtl w:val="true"/>
        </w:rPr>
        <w:t xml:space="preserve">, </w:t>
      </w:r>
      <w:r>
        <w:rPr>
          <w:rtl w:val="true"/>
        </w:rPr>
        <w:t>עומדת החומרה היתרה הנודעת לביצוע עבירות בנשק</w:t>
      </w:r>
      <w:r>
        <w:rPr>
          <w:rtl w:val="true"/>
        </w:rPr>
        <w:t xml:space="preserve">,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בית משפט זה חזר ועמד בפסיקתו</w:t>
      </w:r>
      <w:r>
        <w:rPr>
          <w:rtl w:val="true"/>
        </w:rPr>
        <w:t xml:space="preserve">, </w:t>
      </w:r>
      <w:r>
        <w:rPr>
          <w:rtl w:val="true"/>
        </w:rPr>
        <w:t>לרבות בשנים האחרונות</w:t>
      </w:r>
      <w:r>
        <w:rPr>
          <w:rtl w:val="true"/>
        </w:rPr>
        <w:t xml:space="preserve">, </w:t>
      </w:r>
      <w:r>
        <w:rPr>
          <w:rtl w:val="true"/>
        </w:rPr>
        <w:t>על הסכנה הממשית הגלומה בעבירות אלה לשלום הציבור ולביטחונו ועל הצורך האקוטי במיגורן</w:t>
      </w:r>
      <w:r>
        <w:rPr>
          <w:rtl w:val="true"/>
        </w:rPr>
        <w:t xml:space="preserve">, </w:t>
      </w:r>
      <w:r>
        <w:rPr>
          <w:rtl w:val="true"/>
        </w:rPr>
        <w:t>ובכלל זה על הצורך בהחמרת הענישה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עונשם של המעורבים בעבירות בנשק הוא מאסר ממושך לריצוי בפועל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אף אם הם נעדרים עבר פלילי מכל סוג שהוא וזו להם העבירה הראשונה </w:t>
      </w:r>
      <w:r>
        <w:rPr>
          <w:b/>
          <w:bCs/>
          <w:u w:val="single"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>וכך גם אם מדובר בבגירים צעירים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המתאימים </w:t>
      </w:r>
      <w:r>
        <w:rPr>
          <w:rtl w:val="true"/>
        </w:rPr>
        <w:t xml:space="preserve">...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בשל החומרה היתרה שבעבירות אלו והסיכון הגבוה שיש בהן לשלום הציבור ניתן משקל רב יותר לאינטרס הציבורי ולשיקולי ההרתעה</w:t>
      </w:r>
      <w:r>
        <w:rPr>
          <w:rtl w:val="true"/>
        </w:rPr>
        <w:t>".</w:t>
      </w:r>
    </w:p>
    <w:p>
      <w:pPr>
        <w:pStyle w:val="Style15"/>
        <w:spacing w:lineRule="auto" w:line="360" w:before="0" w:after="240"/>
        <w:ind w:firstLine="720" w:start="2160" w:end="1282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ההדגשות אינן במקור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מתוך הפסיקה הרבה אליה הפנו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ופסיקה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נזכיר את המקרים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20"/>
        <w:ind w:firstLine="579" w:start="141" w:end="0"/>
        <w:jc w:val="both"/>
        <w:rPr/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14.9.2011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בעבירה של החזקת נשק ונשיאתו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החזיק בביתו אקדח ומחסנית בה היו תשעה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נמצאו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מוטמנים בחצר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העמיד את עונשו על </w:t>
      </w:r>
      <w:r>
        <w:rPr>
          <w:rFonts w:cs="David" w:ascii="David" w:hAnsi="David"/>
          <w:u w:val="double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Narkisim" w:ascii="Narkisim" w:hAnsi="Narkisim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/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7177/20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כנעאן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27.1.2021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אשר הורשע על פי הודאתו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יצא מבית שכנו כשהוא נושא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לתוכו מחסנית טעונה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את האקדח וכעבור מספר דקות פרק אותו והעבירו לאחר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המחוזי השית על הנאשם עונש של </w:t>
      </w:r>
      <w:r>
        <w:rPr>
          <w:rFonts w:cs="David" w:ascii="David" w:hAnsi="David"/>
          <w:sz w:val="24"/>
          <w:szCs w:val="24"/>
          <w:u w:val="double"/>
        </w:rPr>
        <w:t>24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העליון התייחס למגמת החמרה בענישה בעבירות הנשק ולחומרה היתרה בעבירות אלה ודחה את הערעור על חומרת העונש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14115-07-19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בארין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28.1.2020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בעבירה של נשיאת נשק ובעבירה של 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הנאשם על גופו אקדח חצי אוטומטי ובתוכו מחסנית עם שלושה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משהבחין הנאשם בניידת 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נמלט מהמקום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כשהשוטרים בעקבותיו וקוראים לו לעצור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 עונש של </w:t>
      </w:r>
      <w:r>
        <w:rPr>
          <w:rFonts w:cs="David" w:ascii="David" w:hAnsi="David"/>
          <w:sz w:val="24"/>
          <w:szCs w:val="24"/>
          <w:u w:val="double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/>
      </w:pP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1641-04-19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זידאן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6.10.2019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דובר על מקרה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 עבירות נשיאת נשק ותחמושת ועבירה של ירי חם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ובו נקבע מתחם ענישה שנע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  <w:u w:val="double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/>
      </w:pP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58511-01-20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בידס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23.7.2020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של נשיאה והובלת נשק ושיבוש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נשא והוביל על גופו תת מקלע מאולתר וכן מחסנית ריקה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כשהבחינו שוטרים בנאשם החל הנאשם לרוץ והשליך את הנשק במטרה להכשיל הליך משפטי ולהפריע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הוטלו </w:t>
      </w:r>
      <w:r>
        <w:rPr>
          <w:rFonts w:cs="David" w:ascii="David" w:hAnsi="David"/>
          <w:sz w:val="24"/>
          <w:szCs w:val="24"/>
          <w:u w:val="double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/>
      </w:pP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2564/19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אזברגה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18.7.2019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שהורשע על פי הודאתו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רכש אקדח במטרה לסחור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וקיבל לרשותו אקדח עם מחסנית תואמת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בתמורה כספית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ואחר נכנסו לרכבו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הסתירו את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ונסעו עד שנעצרו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u w:val="double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5330/20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ענבתאוי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22.11.2020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המוזכר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התברר עניינם של כמה מעורבים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המעורב העיקרי הורשע בעסקה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והאחרים ב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בסיוע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שנים מהנאשמים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הורשעו בנשיאה ובהובלה של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נגזרו עונשים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קיבל את ערעור המדינה וקבע כי העונשים כאמור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חורג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ם במידה ניכרת מן הענישה הראויה ומצדיקים התערבות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לכלל כי אין ערכאת הערעור ממצה את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הועמד עונשם על </w:t>
      </w:r>
      <w:r>
        <w:rPr>
          <w:rFonts w:cs="David" w:ascii="David" w:hAnsi="David"/>
          <w:sz w:val="24"/>
          <w:szCs w:val="24"/>
          <w:u w:val="double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u w:val="double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44579-08-15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16.3.2016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בעבירה של נשיאת נשק ואביזר של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הנאשם נשא אקדח ובתוכו מחסנית מתאימה ללא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היו עטופים בסמרטוט בתוך שקית אשפה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  <w:u w:val="double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579" w:start="141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6294/10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אלקיעאן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13.2.2011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המערערים הורשעו בעבירה של החזקת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ונשיאת </w:t>
      </w:r>
      <w:r>
        <w:rPr>
          <w:rFonts w:ascii="David" w:hAnsi="David" w:cs="David"/>
          <w:sz w:val="24"/>
          <w:sz w:val="24"/>
          <w:szCs w:val="24"/>
          <w:rtl w:val="true"/>
        </w:rPr>
        <w:t>נשק ותחמושת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נתפסו המערערים ברכב בו נסעו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כשכל אחד מהם החזיק ברשותו אקדח טעון ומחסנית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בכיס מעילו מחסנית נוספת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כל אחד מהמערערים הוטל עונש מאסר בפועל של </w:t>
      </w:r>
      <w:r>
        <w:rPr>
          <w:rFonts w:cs="David" w:ascii="David" w:hAnsi="David"/>
          <w:sz w:val="24"/>
          <w:szCs w:val="24"/>
          <w:u w:val="double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וערעורם נדחה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שקיימים מקרים רבים בהם עסקינן בעבירות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וכאשר המדובר במורשעים שהינם בגירים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לראות כי היו אף מקרים בהם הושתו עונשים חמורים בהרבה על מבצעי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נעו בין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היה זה בנסיבות חמורות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לנאשם היה עבר פלילי מכביד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1509/20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נבארי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2.7.2020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כאשר המדובר היה בכמה מעשי ירי בהזדמנויות שונות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30340-08-20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סביח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31.1.2021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כאשר הירי בוצע במטרה להפחיד ולאיים במסגרת סכסוך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9830/17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חמודה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8.3.2018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17.11.2016</w:t>
      </w:r>
      <w:r>
        <w:rPr>
          <w:rFonts w:cs="David" w:ascii="David" w:hAnsi="David"/>
          <w:sz w:val="24"/>
          <w:szCs w:val="24"/>
          <w:rtl w:val="true"/>
        </w:rPr>
        <w:t xml:space="preserve">)), </w:t>
      </w:r>
      <w:r>
        <w:rPr>
          <w:rFonts w:ascii="David" w:hAnsi="David" w:cs="David"/>
          <w:sz w:val="24"/>
          <w:sz w:val="24"/>
          <w:szCs w:val="24"/>
          <w:rtl w:val="true"/>
        </w:rPr>
        <w:t>ובהקשר זה אפנה ל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4595/13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זובידאת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6.7.2014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מתייחס בית המשפט העליון לעבירת הירי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ומציין כי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Style15"/>
        <w:spacing w:before="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אף כי בסעיף זה ניתן להרשיע גם בגין ירי במקום מגורים במסגרת חתונות או שמחות</w:t>
      </w:r>
      <w:r>
        <w:rPr>
          <w:rtl w:val="true"/>
        </w:rPr>
        <w:t xml:space="preserve">, </w:t>
      </w:r>
      <w:r>
        <w:rPr>
          <w:rtl w:val="true"/>
        </w:rPr>
        <w:t>כפי שמקובל במגזרים אחדים בחברה הישראלית</w:t>
      </w:r>
      <w:r>
        <w:rPr>
          <w:rtl w:val="true"/>
        </w:rPr>
        <w:t xml:space="preserve">, </w:t>
      </w:r>
      <w:r>
        <w:rPr>
          <w:rtl w:val="true"/>
        </w:rPr>
        <w:t>לא בכך עסקינן</w:t>
      </w:r>
      <w:r>
        <w:rPr>
          <w:rtl w:val="true"/>
        </w:rPr>
        <w:t xml:space="preserve">, </w:t>
      </w:r>
      <w:r>
        <w:rPr>
          <w:rtl w:val="true"/>
        </w:rPr>
        <w:t>אלא בירי שנועד לשמש כלי נוסף להפחדה ואיומים</w:t>
      </w:r>
      <w:r>
        <w:rPr>
          <w:rtl w:val="true"/>
        </w:rPr>
        <w:t xml:space="preserve">, </w:t>
      </w:r>
      <w:r>
        <w:rPr>
          <w:rtl w:val="true"/>
        </w:rPr>
        <w:t>ירי שמייצר סיכון ממשי לשלום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גם אם אינו מכוון לפגיעה</w:t>
      </w:r>
      <w:r>
        <w:rPr>
          <w:rtl w:val="true"/>
        </w:rPr>
        <w:t xml:space="preserve">, </w:t>
      </w:r>
      <w:r>
        <w:rPr>
          <w:rtl w:val="true"/>
        </w:rPr>
        <w:t>אין אנו יודעים מה יכול להיות סופו של ירי זה</w:t>
      </w:r>
      <w:r>
        <w:rPr>
          <w:rtl w:val="true"/>
        </w:rPr>
        <w:t xml:space="preserve">". </w:t>
      </w:r>
    </w:p>
    <w:p>
      <w:pPr>
        <w:pStyle w:val="ListParagraph"/>
        <w:tabs>
          <w:tab w:val="clear" w:pos="720"/>
          <w:tab w:val="left" w:pos="794" w:leader="none"/>
        </w:tabs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משמע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מקום לעשות אבחנה מסוימת בין מקרים בהם הירי מתבצע במסגרת סכסוכים ומטרתו הפחדה ואיום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לבן מקרים בהם לא הוכח מניע שמגלם חומרה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כפי שהיה במקרה הנוכחי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לומר כי לעומת המקרים בהם הענישה הייתה כמתואר בסעיף הקודם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 אף מקרים בהם בעבירות דומות נגזרו על נאשמים עונשים בני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שמקרים הללו היו לנאשמים נסיבות אישיות חריגות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רקע נפשי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כגון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19.1.2014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1505/14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לידאוי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4.11.2014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נזכור כי העונש המרבי הקבוע בחוק לעבירת הנשק לפי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עומד על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ולגבי עבירה של 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המרבי הינו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תיקון </w:t>
      </w:r>
      <w:r>
        <w:rPr>
          <w:rFonts w:cs="David" w:ascii="David" w:hAnsi="David"/>
          <w:sz w:val="24"/>
          <w:szCs w:val="24"/>
        </w:rPr>
        <w:t>134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משנת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טרם סיום חלק זה של הדיון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אפנה לשני פסקי דין שניתנו אך לאחרונה בבית המשפט העליון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6277/20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היילי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24.03.2021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לאמור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>
          <w:rFonts w:ascii="Narkisim" w:hAnsi="Narkisim" w:cs="Narkisim"/>
          <w:sz w:val="24"/>
          <w:szCs w:val="24"/>
        </w:rPr>
      </w:pPr>
      <w:r>
        <w:rPr>
          <w:rFonts w:cs="Narkisim" w:ascii="Narkisim" w:hAnsi="Narkisim"/>
          <w:sz w:val="24"/>
          <w:szCs w:val="24"/>
          <w:rtl w:val="true"/>
        </w:rPr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>
          <w:rFonts w:ascii="Narkisim" w:hAnsi="Narkisim" w:cs="Narkisim"/>
          <w:sz w:val="24"/>
          <w:szCs w:val="24"/>
        </w:rPr>
      </w:pPr>
      <w:r>
        <w:rPr>
          <w:rFonts w:cs="Narkisim" w:ascii="Narkisim" w:hAnsi="Narkisim"/>
          <w:sz w:val="24"/>
          <w:szCs w:val="24"/>
          <w:rtl w:val="true"/>
        </w:rPr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/>
      </w:pP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Narkisim" w:ascii="Narkisim" w:hAnsi="Narkisim"/>
          <w:sz w:val="24"/>
          <w:szCs w:val="24"/>
          <w:rtl w:val="true"/>
        </w:rPr>
        <w:t xml:space="preserve">. </w:t>
      </w:r>
      <w:r>
        <w:rPr>
          <w:rFonts w:ascii="Narkisim" w:hAnsi="Narkisim" w:cs="Narkisim"/>
          <w:sz w:val="24"/>
          <w:sz w:val="24"/>
          <w:szCs w:val="24"/>
          <w:rtl w:val="true"/>
        </w:rPr>
        <w:t>היא התשתית ו</w:t>
      </w:r>
      <w:r>
        <w:rPr>
          <w:rFonts w:cs="Narkisim" w:ascii="Narkisim" w:hAnsi="Narkisim"/>
          <w:sz w:val="24"/>
          <w:szCs w:val="24"/>
          <w:rtl w:val="true"/>
        </w:rPr>
        <w:t>'</w:t>
      </w:r>
      <w:r>
        <w:rPr>
          <w:rFonts w:ascii="Narkisim" w:hAnsi="Narkisim" w:cs="Narkisim"/>
          <w:sz w:val="24"/>
          <w:sz w:val="24"/>
          <w:szCs w:val="24"/>
          <w:rtl w:val="true"/>
        </w:rPr>
        <w:t>הגורם בלתו איין</w:t>
      </w:r>
      <w:r>
        <w:rPr>
          <w:rFonts w:cs="Narkisim" w:ascii="Narkisim" w:hAnsi="Narkisim"/>
          <w:sz w:val="24"/>
          <w:szCs w:val="24"/>
          <w:rtl w:val="true"/>
        </w:rPr>
        <w:t>' (</w:t>
      </w:r>
      <w:r>
        <w:rPr>
          <w:rFonts w:cs="Narkisim" w:ascii="Narkisim" w:hAnsi="Narkisim"/>
          <w:sz w:val="24"/>
          <w:szCs w:val="24"/>
        </w:rPr>
        <w:t>causa sine qua non</w:t>
      </w:r>
      <w:r>
        <w:rPr>
          <w:rFonts w:cs="Narkisim" w:ascii="Narkisim" w:hAnsi="Narkisim"/>
          <w:sz w:val="24"/>
          <w:szCs w:val="24"/>
          <w:rtl w:val="true"/>
        </w:rPr>
        <w:t xml:space="preserve">) </w:t>
      </w:r>
      <w:r>
        <w:rPr>
          <w:rFonts w:ascii="Narkisim" w:hAnsi="Narkisim" w:cs="Narkisim"/>
          <w:sz w:val="24"/>
          <w:sz w:val="24"/>
          <w:szCs w:val="24"/>
          <w:rtl w:val="true"/>
        </w:rPr>
        <w:t>למגוון רחב של עבירות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החל בעבירות איומים ושוד מזוין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המשך בעבירות גרימת חבלה חמורה וכלה בעבירות המתה</w:t>
      </w:r>
      <w:r>
        <w:rPr>
          <w:rFonts w:cs="Narkisim" w:ascii="Narkisim" w:hAnsi="Narkisim"/>
          <w:sz w:val="24"/>
          <w:szCs w:val="24"/>
          <w:rtl w:val="true"/>
        </w:rPr>
        <w:t xml:space="preserve">... </w:t>
      </w:r>
      <w:r>
        <w:rPr>
          <w:rFonts w:ascii="Narkisim" w:hAnsi="Narkisim" w:cs="Narkisim"/>
          <w:sz w:val="24"/>
          <w:sz w:val="24"/>
          <w:szCs w:val="24"/>
          <w:rtl w:val="true"/>
        </w:rPr>
        <w:t>על כן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המאבק בתופעות האלימות החמורות בחברה הישראלית בהן נעשה שימוש בנשק מחייב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מעבר למאמץ </w:t>
      </w:r>
      <w:r>
        <w:rPr>
          <w:rFonts w:cs="Narkisim" w:ascii="Narkisim" w:hAnsi="Narkisim"/>
          <w:sz w:val="24"/>
          <w:szCs w:val="24"/>
          <w:rtl w:val="true"/>
        </w:rPr>
        <w:t>'</w:t>
      </w:r>
      <w:r>
        <w:rPr>
          <w:rFonts w:ascii="Narkisim" w:hAnsi="Narkisim" w:cs="Narkisim"/>
          <w:sz w:val="24"/>
          <w:sz w:val="24"/>
          <w:szCs w:val="24"/>
          <w:rtl w:val="true"/>
        </w:rPr>
        <w:t>לשים יד</w:t>
      </w:r>
      <w:r>
        <w:rPr>
          <w:rFonts w:cs="Narkisim" w:ascii="Narkisim" w:hAnsi="Narkisim"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sz w:val="24"/>
          <w:sz w:val="24"/>
          <w:szCs w:val="24"/>
          <w:rtl w:val="true"/>
        </w:rPr>
        <w:t>על כלי הנשק הבלתי חוקיים הרבים שבידי הציבור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גם ענישה מחמירה ומרתיעה בעבירות נשק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לרבות על עצם החזקה או רכישה שלא כדין של נשק</w:t>
      </w:r>
      <w:r>
        <w:rPr>
          <w:rFonts w:cs="Narkisim" w:ascii="Narkisim" w:hAnsi="Narkisim"/>
          <w:sz w:val="24"/>
          <w:szCs w:val="24"/>
          <w:rtl w:val="true"/>
        </w:rPr>
        <w:t xml:space="preserve">... </w:t>
      </w:r>
      <w:r>
        <w:rPr>
          <w:rFonts w:ascii="Narkisim" w:hAnsi="Narkisim" w:cs="Narkisim"/>
          <w:sz w:val="24"/>
          <w:sz w:val="24"/>
          <w:szCs w:val="24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בבחינת </w:t>
      </w:r>
      <w:r>
        <w:rPr>
          <w:rFonts w:cs="Narkisim" w:ascii="Narkisim" w:hAnsi="Narkisim"/>
          <w:sz w:val="24"/>
          <w:szCs w:val="24"/>
          <w:rtl w:val="true"/>
        </w:rPr>
        <w:t>'</w:t>
      </w:r>
      <w:r>
        <w:rPr>
          <w:rFonts w:ascii="Narkisim" w:hAnsi="Narkisim" w:cs="Narkisim"/>
          <w:sz w:val="24"/>
          <w:sz w:val="24"/>
          <w:szCs w:val="24"/>
          <w:rtl w:val="true"/>
        </w:rPr>
        <w:t>ייבוש הביצה</w:t>
      </w:r>
      <w:r>
        <w:rPr>
          <w:rFonts w:cs="Narkisim" w:ascii="Narkisim" w:hAnsi="Narkisim"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sz w:val="24"/>
          <w:sz w:val="24"/>
          <w:szCs w:val="24"/>
          <w:rtl w:val="true"/>
        </w:rPr>
        <w:t>המשמשת ערס לגידולן של תופעות אלה</w:t>
      </w:r>
      <w:r>
        <w:rPr>
          <w:rFonts w:cs="Narkisim" w:ascii="Narkisim" w:hAnsi="Narkisim"/>
          <w:sz w:val="24"/>
          <w:szCs w:val="24"/>
          <w:rtl w:val="true"/>
        </w:rPr>
        <w:t xml:space="preserve">. </w:t>
      </w:r>
      <w:r>
        <w:rPr>
          <w:rFonts w:ascii="Narkisim" w:hAnsi="Narkisim" w:cs="Narkisim"/>
          <w:sz w:val="24"/>
          <w:sz w:val="24"/>
          <w:szCs w:val="24"/>
          <w:rtl w:val="true"/>
        </w:rPr>
        <w:t>מהלך כזה מחייב הירתמות גם של בתי המשפט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על ידי ענישה מחמירה ומרתיעה לעבירות נשק בלתי חוקי באשר הן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וכל שכן מקום שנעשה בנשק כזה שימוש בביצוע עבירות אלימות לסוגיהן</w:t>
      </w:r>
      <w:r>
        <w:rPr>
          <w:rFonts w:cs="Narkisim" w:ascii="Narkisim" w:hAnsi="Narkisim"/>
          <w:sz w:val="24"/>
          <w:szCs w:val="24"/>
          <w:rtl w:val="true"/>
        </w:rPr>
        <w:t>" (</w:t>
      </w:r>
      <w:hyperlink r:id="rId34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4406/19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(</w:t>
      </w:r>
      <w:r>
        <w:rPr>
          <w:rFonts w:cs="Narkisim" w:ascii="Narkisim" w:hAnsi="Narkisim"/>
          <w:sz w:val="24"/>
          <w:szCs w:val="24"/>
        </w:rPr>
        <w:t>5.11.2019</w:t>
      </w:r>
      <w:r>
        <w:rPr>
          <w:rFonts w:cs="Narkisim" w:ascii="Narkisim" w:hAnsi="Narkisim"/>
          <w:sz w:val="24"/>
          <w:szCs w:val="24"/>
          <w:rtl w:val="true"/>
        </w:rPr>
        <w:t xml:space="preserve">)). </w:t>
      </w:r>
      <w:r>
        <w:rPr>
          <w:rFonts w:ascii="Narkisim" w:hAnsi="Narkisim" w:cs="Narkisim"/>
          <w:sz w:val="24"/>
          <w:sz w:val="24"/>
          <w:szCs w:val="24"/>
          <w:rtl w:val="true"/>
        </w:rPr>
        <w:t>וראו גם</w:t>
      </w:r>
      <w:r>
        <w:rPr>
          <w:rFonts w:cs="Narkisim" w:ascii="Narkisim" w:hAnsi="Narkisim"/>
          <w:sz w:val="24"/>
          <w:szCs w:val="24"/>
          <w:rtl w:val="true"/>
        </w:rPr>
        <w:t xml:space="preserve">: </w:t>
      </w:r>
      <w:hyperlink r:id="rId35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1944/20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>‏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אמארה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 </w:t>
      </w:r>
      <w:r>
        <w:rPr>
          <w:rFonts w:cs="Narkisim" w:ascii="Narkisim" w:hAnsi="Narkisim"/>
          <w:sz w:val="24"/>
          <w:szCs w:val="24"/>
          <w:rtl w:val="true"/>
        </w:rPr>
        <w:t>(</w:t>
      </w:r>
      <w:r>
        <w:rPr>
          <w:rFonts w:cs="Narkisim" w:ascii="Narkisim" w:hAnsi="Narkisim"/>
          <w:sz w:val="24"/>
          <w:szCs w:val="24"/>
        </w:rPr>
        <w:t>2.9.2020</w:t>
      </w:r>
      <w:r>
        <w:rPr>
          <w:rFonts w:cs="Narkisim" w:ascii="Narkisim" w:hAnsi="Narkisim"/>
          <w:sz w:val="24"/>
          <w:szCs w:val="24"/>
          <w:rtl w:val="true"/>
        </w:rPr>
        <w:t xml:space="preserve">); </w:t>
      </w:r>
      <w:hyperlink r:id="rId36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8017/20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 xml:space="preserve">פאדי גריפאת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 </w:t>
      </w:r>
      <w:r>
        <w:rPr>
          <w:rFonts w:cs="Narkisim" w:ascii="Narkisim" w:hAnsi="Narkisim"/>
          <w:sz w:val="24"/>
          <w:szCs w:val="24"/>
          <w:rtl w:val="true"/>
        </w:rPr>
        <w:t>(</w:t>
      </w:r>
      <w:r>
        <w:rPr>
          <w:rFonts w:cs="Narkisim" w:ascii="Narkisim" w:hAnsi="Narkisim"/>
          <w:sz w:val="24"/>
          <w:szCs w:val="24"/>
        </w:rPr>
        <w:t>22.12.2020</w:t>
      </w:r>
      <w:r>
        <w:rPr>
          <w:rFonts w:cs="Narkisim" w:ascii="Narkisim" w:hAnsi="Narkisim"/>
          <w:sz w:val="24"/>
          <w:szCs w:val="24"/>
          <w:rtl w:val="true"/>
        </w:rPr>
        <w:t xml:space="preserve">); </w:t>
      </w:r>
      <w:hyperlink r:id="rId37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6583/06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אדהאם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 </w:t>
      </w:r>
      <w:r>
        <w:rPr>
          <w:rFonts w:cs="Narkisim" w:ascii="Narkisim" w:hAnsi="Narkisim"/>
          <w:sz w:val="24"/>
          <w:szCs w:val="24"/>
          <w:rtl w:val="true"/>
        </w:rPr>
        <w:t>(</w:t>
      </w:r>
      <w:r>
        <w:rPr>
          <w:rFonts w:cs="Narkisim" w:ascii="Narkisim" w:hAnsi="Narkisim"/>
          <w:sz w:val="24"/>
          <w:szCs w:val="24"/>
        </w:rPr>
        <w:t>5.12.2006</w:t>
      </w:r>
      <w:r>
        <w:rPr>
          <w:rFonts w:cs="Narkisim" w:ascii="Narkisim" w:hAnsi="Narkisim"/>
          <w:sz w:val="24"/>
          <w:szCs w:val="24"/>
          <w:rtl w:val="true"/>
        </w:rPr>
        <w:t>)."</w:t>
      </w:r>
    </w:p>
    <w:p>
      <w:pPr>
        <w:pStyle w:val="ListParagraph"/>
        <w:spacing w:lineRule="auto" w:line="360" w:before="0" w:after="120"/>
        <w:ind w:firstLine="636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נזאר חלייחל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24.02.2021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>
          <w:rFonts w:ascii="Narkisim" w:hAnsi="Narkisim" w:cs="Narkisim"/>
          <w:sz w:val="24"/>
          <w:szCs w:val="24"/>
        </w:rPr>
      </w:pP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סעיף </w:t>
      </w:r>
      <w:r>
        <w:rPr>
          <w:rFonts w:cs="Narkisim" w:ascii="Narkisim" w:hAnsi="Narkisim"/>
          <w:sz w:val="24"/>
          <w:szCs w:val="24"/>
        </w:rPr>
        <w:t>144</w:t>
      </w:r>
      <w:r>
        <w:rPr>
          <w:rFonts w:cs="Narkisim" w:ascii="Narkisim" w:hAnsi="Narkisim"/>
          <w:sz w:val="24"/>
          <w:szCs w:val="24"/>
          <w:rtl w:val="true"/>
        </w:rPr>
        <w:t>(</w:t>
      </w:r>
      <w:r>
        <w:rPr>
          <w:rFonts w:ascii="Narkisim" w:hAnsi="Narkisim" w:cs="Narkisim"/>
          <w:sz w:val="24"/>
          <w:sz w:val="24"/>
          <w:szCs w:val="24"/>
          <w:rtl w:val="true"/>
        </w:rPr>
        <w:t>ב</w:t>
      </w:r>
      <w:r>
        <w:rPr>
          <w:rFonts w:cs="Narkisim" w:ascii="Narkisim" w:hAnsi="Narkisim"/>
          <w:sz w:val="24"/>
          <w:szCs w:val="24"/>
          <w:rtl w:val="true"/>
        </w:rPr>
        <w:t xml:space="preserve">) </w:t>
      </w:r>
      <w:r>
        <w:rPr>
          <w:rFonts w:ascii="Narkisim" w:hAnsi="Narkisim" w:cs="Narkisim"/>
          <w:sz w:val="24"/>
          <w:sz w:val="24"/>
          <w:szCs w:val="24"/>
          <w:rtl w:val="true"/>
        </w:rPr>
        <w:t>ל</w:t>
      </w:r>
      <w:hyperlink r:id="rId39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sz w:val="24"/>
          <w:sz w:val="24"/>
          <w:szCs w:val="24"/>
          <w:rtl w:val="true"/>
        </w:rPr>
        <w:t xml:space="preserve"> אוסר על נשיאה או הובלה של כלי</w:t>
      </w:r>
      <w:r>
        <w:rPr>
          <w:rFonts w:cs="Narkisim" w:ascii="Narkisim" w:hAnsi="Narkisim"/>
          <w:sz w:val="24"/>
          <w:szCs w:val="24"/>
          <w:rtl w:val="true"/>
        </w:rPr>
        <w:t>-</w:t>
      </w:r>
      <w:r>
        <w:rPr>
          <w:rFonts w:ascii="Narkisim" w:hAnsi="Narkisim" w:cs="Narkisim"/>
          <w:sz w:val="24"/>
          <w:sz w:val="24"/>
          <w:szCs w:val="24"/>
          <w:rtl w:val="true"/>
        </w:rPr>
        <w:t>נשק</w:t>
      </w:r>
      <w:r>
        <w:rPr>
          <w:rFonts w:cs="Narkisim" w:ascii="Narkisim" w:hAnsi="Narkisim"/>
          <w:sz w:val="24"/>
          <w:szCs w:val="24"/>
          <w:rtl w:val="true"/>
        </w:rPr>
        <w:t>, "</w:t>
      </w:r>
      <w:r>
        <w:rPr>
          <w:rFonts w:ascii="Narkisim" w:hAnsi="Narkisim" w:cs="Narkisim"/>
          <w:sz w:val="24"/>
          <w:sz w:val="24"/>
          <w:szCs w:val="24"/>
          <w:rtl w:val="true"/>
        </w:rPr>
        <w:t>בלא רשות על פי דין</w:t>
      </w:r>
      <w:r>
        <w:rPr>
          <w:rFonts w:cs="Narkisim" w:ascii="Narkisim" w:hAnsi="Narkisim"/>
          <w:sz w:val="24"/>
          <w:szCs w:val="24"/>
          <w:rtl w:val="true"/>
        </w:rPr>
        <w:t xml:space="preserve">". </w:t>
      </w:r>
      <w:r>
        <w:rPr>
          <w:rFonts w:ascii="Narkisim" w:hAnsi="Narkisim" w:cs="Narkisim"/>
          <w:sz w:val="24"/>
          <w:sz w:val="24"/>
          <w:szCs w:val="24"/>
          <w:rtl w:val="true"/>
        </w:rPr>
        <w:t>האיסור נועד להגן על ערך חיי האדם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שלמות גופו ונפשו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כמו גם לקדם את השמירה על הסדר הציבורי ואורח חיים תקין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שלו ובטוח </w:t>
      </w:r>
      <w:r>
        <w:rPr>
          <w:rFonts w:cs="Narkisim" w:ascii="Narkisim" w:hAnsi="Narkisim"/>
          <w:sz w:val="24"/>
          <w:szCs w:val="24"/>
          <w:rtl w:val="true"/>
        </w:rPr>
        <w:t>(</w:t>
      </w:r>
      <w:hyperlink r:id="rId40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147/21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ביטון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פסקה </w:t>
      </w:r>
      <w:r>
        <w:rPr>
          <w:rFonts w:cs="Narkisim" w:ascii="Narkisim" w:hAnsi="Narkisim"/>
          <w:sz w:val="24"/>
          <w:szCs w:val="24"/>
        </w:rPr>
        <w:t>7</w:t>
      </w:r>
      <w:r>
        <w:rPr>
          <w:rFonts w:cs="Narkisim" w:ascii="Narkisim" w:hAnsi="Narkisim"/>
          <w:sz w:val="24"/>
          <w:szCs w:val="24"/>
          <w:rtl w:val="true"/>
        </w:rPr>
        <w:t xml:space="preserve"> (</w:t>
      </w:r>
      <w:r>
        <w:rPr>
          <w:rFonts w:cs="Narkisim" w:ascii="Narkisim" w:hAnsi="Narkisim"/>
          <w:sz w:val="24"/>
          <w:szCs w:val="24"/>
        </w:rPr>
        <w:t>14.02.2021</w:t>
      </w:r>
      <w:r>
        <w:rPr>
          <w:rFonts w:cs="Narkisim" w:ascii="Narkisim" w:hAnsi="Narkisim"/>
          <w:sz w:val="24"/>
          <w:szCs w:val="24"/>
          <w:rtl w:val="true"/>
        </w:rPr>
        <w:t xml:space="preserve">) ...; </w:t>
      </w:r>
      <w:hyperlink r:id="rId41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8017/20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גריפאת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פסקה </w:t>
      </w:r>
      <w:r>
        <w:rPr>
          <w:rFonts w:cs="Narkisim" w:ascii="Narkisim" w:hAnsi="Narkisim"/>
          <w:sz w:val="24"/>
          <w:szCs w:val="24"/>
        </w:rPr>
        <w:t>6</w:t>
      </w:r>
      <w:r>
        <w:rPr>
          <w:rFonts w:cs="Narkisim" w:ascii="Narkisim" w:hAnsi="Narkisim"/>
          <w:sz w:val="24"/>
          <w:szCs w:val="24"/>
          <w:rtl w:val="true"/>
        </w:rPr>
        <w:t xml:space="preserve"> (</w:t>
      </w:r>
      <w:r>
        <w:rPr>
          <w:rFonts w:cs="Narkisim" w:ascii="Narkisim" w:hAnsi="Narkisim"/>
          <w:sz w:val="24"/>
          <w:szCs w:val="24"/>
        </w:rPr>
        <w:t>22.12.2020</w:t>
      </w:r>
      <w:r>
        <w:rPr>
          <w:rFonts w:cs="Narkisim" w:ascii="Narkisim" w:hAnsi="Narkisim"/>
          <w:sz w:val="24"/>
          <w:szCs w:val="24"/>
          <w:rtl w:val="true"/>
        </w:rPr>
        <w:t xml:space="preserve">) .... </w:t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/>
      </w:pPr>
      <w:r>
        <w:rPr>
          <w:rFonts w:ascii="Narkisim" w:hAnsi="Narkisim" w:cs="Narkisim"/>
          <w:sz w:val="24"/>
          <w:sz w:val="24"/>
          <w:szCs w:val="24"/>
          <w:rtl w:val="true"/>
        </w:rPr>
        <w:t>עבירה זו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כמו יתר עבירות הנשק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נועדה למנוע התנהגות מסוכנת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ולמזער את הפוטנציאל לגרימת נזקים חמורים</w:t>
      </w:r>
      <w:r>
        <w:rPr>
          <w:rFonts w:cs="Narkisim" w:ascii="Narkisim" w:hAnsi="Narkisim"/>
          <w:sz w:val="24"/>
          <w:szCs w:val="24"/>
          <w:rtl w:val="true"/>
        </w:rPr>
        <w:t xml:space="preserve">. </w:t>
      </w:r>
      <w:r>
        <w:rPr>
          <w:rFonts w:ascii="Narkisim" w:hAnsi="Narkisim" w:cs="Narkisim"/>
          <w:sz w:val="24"/>
          <w:sz w:val="24"/>
          <w:szCs w:val="24"/>
          <w:rtl w:val="true"/>
        </w:rPr>
        <w:t>אכן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נשיאה והובלה של כלי</w:t>
      </w:r>
      <w:r>
        <w:rPr>
          <w:rFonts w:cs="Narkisim" w:ascii="Narkisim" w:hAnsi="Narkisim"/>
          <w:sz w:val="24"/>
          <w:szCs w:val="24"/>
          <w:rtl w:val="true"/>
        </w:rPr>
        <w:t>-</w:t>
      </w:r>
      <w:r>
        <w:rPr>
          <w:rFonts w:ascii="Narkisim" w:hAnsi="Narkisim" w:cs="Narkisim"/>
          <w:sz w:val="24"/>
          <w:sz w:val="24"/>
          <w:szCs w:val="24"/>
          <w:rtl w:val="true"/>
        </w:rPr>
        <w:t>נשק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הריהי לעיתים רק הסנונית הראשונה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בואכה מעשים חמורים יותר – חבלה חמורה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שוד מזוין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רצח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וכיוצא באלה </w:t>
      </w:r>
      <w:r>
        <w:rPr>
          <w:rFonts w:cs="Narkisim" w:ascii="Narkisim" w:hAnsi="Narkisim"/>
          <w:sz w:val="24"/>
          <w:szCs w:val="24"/>
          <w:rtl w:val="true"/>
        </w:rPr>
        <w:t>(</w:t>
      </w:r>
      <w:hyperlink r:id="rId42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4406/19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פסק דינו של השופט מ</w:t>
      </w:r>
      <w:r>
        <w:rPr>
          <w:rFonts w:cs="Narkisim" w:ascii="Narkisim" w:hAnsi="Narkisim"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מזוז </w:t>
      </w:r>
      <w:r>
        <w:rPr>
          <w:rFonts w:cs="Narkisim" w:ascii="Narkisim" w:hAnsi="Narkisim"/>
          <w:sz w:val="24"/>
          <w:szCs w:val="24"/>
          <w:rtl w:val="true"/>
        </w:rPr>
        <w:t>(</w:t>
      </w:r>
      <w:r>
        <w:rPr>
          <w:rFonts w:cs="Narkisim" w:ascii="Narkisim" w:hAnsi="Narkisim"/>
          <w:sz w:val="24"/>
          <w:szCs w:val="24"/>
        </w:rPr>
        <w:t>5.11.2019</w:t>
      </w:r>
      <w:r>
        <w:rPr>
          <w:rFonts w:cs="Narkisim" w:ascii="Narkisim" w:hAnsi="Narkisim"/>
          <w:sz w:val="24"/>
          <w:szCs w:val="24"/>
          <w:rtl w:val="true"/>
        </w:rPr>
        <w:t xml:space="preserve">); </w:t>
      </w:r>
      <w:hyperlink r:id="rId43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116/13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וקנין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פסקה </w:t>
      </w:r>
      <w:r>
        <w:rPr>
          <w:rFonts w:cs="Narkisim" w:ascii="Narkisim" w:hAnsi="Narkisim"/>
          <w:sz w:val="24"/>
          <w:szCs w:val="24"/>
        </w:rPr>
        <w:t>7</w:t>
      </w:r>
      <w:r>
        <w:rPr>
          <w:rFonts w:cs="Narkisim" w:ascii="Narkisim" w:hAnsi="Narkisim"/>
          <w:sz w:val="24"/>
          <w:szCs w:val="24"/>
          <w:rtl w:val="true"/>
        </w:rPr>
        <w:t xml:space="preserve"> (</w:t>
      </w:r>
      <w:r>
        <w:rPr>
          <w:rFonts w:cs="Narkisim" w:ascii="Narkisim" w:hAnsi="Narkisim"/>
          <w:sz w:val="24"/>
          <w:szCs w:val="24"/>
        </w:rPr>
        <w:t>31.7.2013</w:t>
      </w:r>
      <w:r>
        <w:rPr>
          <w:rFonts w:cs="Narkisim" w:ascii="Narkisim" w:hAnsi="Narkisim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/>
      </w:pPr>
      <w:r>
        <w:rPr>
          <w:rFonts w:ascii="Narkisim" w:hAnsi="Narkisim" w:cs="Narkisim"/>
          <w:sz w:val="24"/>
          <w:sz w:val="24"/>
          <w:szCs w:val="24"/>
          <w:rtl w:val="true"/>
        </w:rPr>
        <w:t>כמו כן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לא אחת צוין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כי למרבה הצער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חרף האיסור שבדין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הפכה תופעת השימוש בנשק חם למכת מדינה</w:t>
      </w:r>
      <w:r>
        <w:rPr>
          <w:rFonts w:cs="Narkisim" w:ascii="Narkisim" w:hAnsi="Narkisim"/>
          <w:sz w:val="24"/>
          <w:szCs w:val="24"/>
          <w:rtl w:val="true"/>
        </w:rPr>
        <w:t xml:space="preserve">. </w:t>
      </w:r>
      <w:r>
        <w:rPr>
          <w:rFonts w:ascii="Narkisim" w:hAnsi="Narkisim" w:cs="Narkisim"/>
          <w:sz w:val="24"/>
          <w:sz w:val="24"/>
          <w:szCs w:val="24"/>
          <w:rtl w:val="true"/>
        </w:rPr>
        <w:t>בעקבות זאת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לשם הרתעה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ניכרת בפסיקה מגמה של החמרה הדרגתית בענישה על עבירות הנשק </w:t>
      </w:r>
      <w:r>
        <w:rPr>
          <w:rFonts w:cs="Narkisim" w:ascii="Narkisim" w:hAnsi="Narkisim"/>
          <w:sz w:val="24"/>
          <w:szCs w:val="24"/>
          <w:rtl w:val="true"/>
        </w:rPr>
        <w:t>(</w:t>
      </w:r>
      <w:hyperlink r:id="rId44"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4"/>
            <w:szCs w:val="24"/>
            <w:u w:val="single"/>
          </w:rPr>
          <w:t>5807/20</w:t>
        </w:r>
      </w:hyperlink>
      <w:r>
        <w:rPr>
          <w:rFonts w:cs="Narkisim" w:ascii="Narkisim" w:hAnsi="Narkisim"/>
          <w:sz w:val="24"/>
          <w:szCs w:val="24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שיבלי נ</w:t>
      </w:r>
      <w:r>
        <w:rPr>
          <w:rFonts w:cs="Narkisim" w:ascii="Narkisim" w:hAnsi="Narkisim"/>
          <w:b/>
          <w:bCs/>
          <w:sz w:val="24"/>
          <w:szCs w:val="24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פסקה </w:t>
      </w:r>
      <w:r>
        <w:rPr>
          <w:rFonts w:cs="Narkisim" w:ascii="Narkisim" w:hAnsi="Narkisim"/>
          <w:sz w:val="24"/>
          <w:szCs w:val="24"/>
        </w:rPr>
        <w:t>8</w:t>
      </w:r>
      <w:r>
        <w:rPr>
          <w:rFonts w:cs="Narkisim" w:ascii="Narkisim" w:hAnsi="Narkisim"/>
          <w:sz w:val="24"/>
          <w:szCs w:val="24"/>
          <w:rtl w:val="true"/>
        </w:rPr>
        <w:t xml:space="preserve"> (</w:t>
      </w:r>
      <w:r>
        <w:rPr>
          <w:rFonts w:cs="Narkisim" w:ascii="Narkisim" w:hAnsi="Narkisim"/>
          <w:sz w:val="24"/>
          <w:szCs w:val="24"/>
        </w:rPr>
        <w:t>30.12.2020</w:t>
      </w:r>
      <w:r>
        <w:rPr>
          <w:rFonts w:cs="Narkisim" w:ascii="Narkisim" w:hAnsi="Narkisim"/>
          <w:sz w:val="24"/>
          <w:szCs w:val="24"/>
          <w:rtl w:val="true"/>
        </w:rPr>
        <w:t xml:space="preserve">) ...;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לעיתים </w:t>
      </w: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>השעה צריכה לכך</w:t>
      </w:r>
      <w:r>
        <w:rPr>
          <w:rFonts w:cs="Narkisim" w:ascii="Narkisim" w:hAnsi="Narkisim"/>
          <w:sz w:val="24"/>
          <w:szCs w:val="24"/>
          <w:rtl w:val="true"/>
        </w:rPr>
        <w:t>" (</w:t>
      </w:r>
      <w:r>
        <w:rPr>
          <w:rFonts w:ascii="Narkisim" w:hAnsi="Narkisim" w:cs="Narkisim"/>
          <w:sz w:val="24"/>
          <w:sz w:val="24"/>
          <w:szCs w:val="24"/>
          <w:rtl w:val="true"/>
        </w:rPr>
        <w:t>בבלי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סנהדרין מו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ע</w:t>
      </w: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>א</w:t>
      </w:r>
      <w:r>
        <w:rPr>
          <w:rFonts w:cs="Narkisim" w:ascii="Narkisim" w:hAnsi="Narkisim"/>
          <w:sz w:val="24"/>
          <w:szCs w:val="24"/>
          <w:rtl w:val="true"/>
        </w:rPr>
        <w:t>)."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הדברים יפים לעת הזו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השעה אכן צריכה לכך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ואין צורך להוסיף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מתחם הענישה ההולם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במהות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בערכים החברתיים שנפגעו מביצוע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במדיניות הענישה הנהוגה ובנסיבות הקשורות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סבורני כי מתחם הענישה לגבי האירוע בו עסקינן הינו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וענישה על תנאי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העונש המתאים בזיקה למתחמי הענישה –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שיקולי שיקום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מקדמית יובהר כי אין לסטות מהמתחם שנקבע מעלה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אציין כי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7.3.2021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נמנעה עורכת התסקיר מלבוא בהמלצה טיפולית בעניינו של הנאשם והעריכה כאמור כי הוא זקוק לענישה משמעותית ומרתיעה שתחדד עבורו את החומרה שבמעשיו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נוטה להפחית מחומרת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יכולת להתבוננות ביקורתית ומעמיקה על הבעייתיות בהתנהגותו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וניכר כי אינו מבין היטב את השלכות וחומרת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לסטות מהמתחם משיקולי שיקום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קבלת אחריות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הגם שהנאשם כפר בעבירות בעת תשובתו לכתב האישום ונשמעו כל הראיות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מהתסקיר עולה כי הנאשם הודה במעשיו בפגישתו בשירות המבחן ויש לקחת נתון זה בחשבון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הפחית מחומרת מעשיו ומסר רק מידע חלקי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יפים כאן הדברים שנאמרו ב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4095/18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6.1.2021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במקרה אשר אף שם ההודאה של הנאשם במעשים הייתה רק לאחר הכרעת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לאמור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240"/>
        <w:ind w:start="1440" w:end="567"/>
        <w:contextualSpacing w:val="false"/>
        <w:jc w:val="both"/>
        <w:rPr>
          <w:rFonts w:ascii="Narkisim" w:hAnsi="Narkisim" w:cs="Narkisim"/>
          <w:sz w:val="24"/>
          <w:szCs w:val="24"/>
        </w:rPr>
      </w:pPr>
      <w:r>
        <w:rPr>
          <w:rFonts w:cs="Narkisim" w:ascii="Narkisim" w:hAnsi="Narkisim"/>
          <w:sz w:val="24"/>
          <w:szCs w:val="24"/>
          <w:rtl w:val="true"/>
        </w:rPr>
        <w:t xml:space="preserve">"... </w:t>
      </w:r>
      <w:r>
        <w:rPr>
          <w:rFonts w:ascii="Narkisim" w:hAnsi="Narkisim" w:cs="Narkisim"/>
          <w:sz w:val="24"/>
          <w:sz w:val="24"/>
          <w:szCs w:val="24"/>
          <w:rtl w:val="true"/>
        </w:rPr>
        <w:t>אין לבטל לחלוטין את הערך שבלקיחת אחריות מאוחרת על המעשים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מצדו של הפוגע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גם אם זו באה בשלב מאוחר </w:t>
      </w:r>
      <w:r>
        <w:rPr>
          <w:rFonts w:cs="Narkisim" w:ascii="Narkisim" w:hAnsi="Narkisim"/>
          <w:sz w:val="24"/>
          <w:szCs w:val="24"/>
          <w:rtl w:val="true"/>
        </w:rPr>
        <w:t xml:space="preserve">... </w:t>
      </w:r>
      <w:r>
        <w:rPr>
          <w:rFonts w:ascii="Narkisim" w:hAnsi="Narkisim" w:cs="Narkisim"/>
          <w:sz w:val="24"/>
          <w:sz w:val="24"/>
          <w:szCs w:val="24"/>
          <w:rtl w:val="true"/>
        </w:rPr>
        <w:t>ההודאה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גם בדיעבד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גם לאחר הכרעת הדין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כאשר היא נעשית במפורש ובכנות </w:t>
      </w:r>
      <w:r>
        <w:rPr>
          <w:rFonts w:cs="Narkisim" w:ascii="Narkisim" w:hAnsi="Narkisim"/>
          <w:sz w:val="24"/>
          <w:szCs w:val="24"/>
          <w:rtl w:val="true"/>
        </w:rPr>
        <w:t xml:space="preserve">... </w:t>
      </w:r>
      <w:r>
        <w:rPr>
          <w:rFonts w:ascii="Narkisim" w:hAnsi="Narkisim" w:cs="Narkisim"/>
          <w:sz w:val="24"/>
          <w:sz w:val="24"/>
          <w:szCs w:val="24"/>
          <w:rtl w:val="true"/>
        </w:rPr>
        <w:t>הריהי שלב ראשון בתהליך של התשובה</w:t>
      </w:r>
      <w:r>
        <w:rPr>
          <w:rFonts w:cs="Narkisim" w:ascii="Narkisim" w:hAnsi="Narkisim"/>
          <w:sz w:val="24"/>
          <w:szCs w:val="24"/>
          <w:rtl w:val="true"/>
        </w:rPr>
        <w:t xml:space="preserve">;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עליה נאמר </w:t>
      </w: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שהיא מצד אחד קלה שבקלות </w:t>
      </w:r>
      <w:r>
        <w:rPr>
          <w:rFonts w:cs="Narkisim" w:ascii="Narkisim" w:hAnsi="Narkisim"/>
          <w:sz w:val="24"/>
          <w:szCs w:val="24"/>
          <w:rtl w:val="true"/>
        </w:rPr>
        <w:t xml:space="preserve">[...] </w:t>
      </w:r>
      <w:r>
        <w:rPr>
          <w:rFonts w:ascii="Narkisim" w:hAnsi="Narkisim" w:cs="Narkisim"/>
          <w:sz w:val="24"/>
          <w:sz w:val="24"/>
          <w:szCs w:val="24"/>
          <w:rtl w:val="true"/>
        </w:rPr>
        <w:t>ומצד אחר הרי היא קשה שבקשות</w:t>
      </w:r>
      <w:r>
        <w:rPr>
          <w:rFonts w:cs="Narkisim" w:ascii="Narkisim" w:hAnsi="Narkisim"/>
          <w:sz w:val="24"/>
          <w:szCs w:val="24"/>
          <w:rtl w:val="true"/>
        </w:rPr>
        <w:t>" (</w:t>
      </w:r>
      <w:r>
        <w:rPr>
          <w:rFonts w:ascii="Narkisim" w:hAnsi="Narkisim" w:cs="Narkisim"/>
          <w:sz w:val="24"/>
          <w:sz w:val="24"/>
          <w:szCs w:val="24"/>
          <w:rtl w:val="true"/>
        </w:rPr>
        <w:t>הרב אברהם יצחק הכהן קוק אורות התשובה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פתיחה לספר</w:t>
      </w:r>
      <w:r>
        <w:rPr>
          <w:rFonts w:cs="Narkisim" w:ascii="Narkisim" w:hAnsi="Narkisim"/>
          <w:sz w:val="24"/>
          <w:szCs w:val="24"/>
          <w:rtl w:val="true"/>
        </w:rPr>
        <w:t>)."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עבר פלילי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נעדר עבר פלילי ויש לשקול נתון זה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גילו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הנאשם יליד </w:t>
      </w:r>
      <w:r>
        <w:rPr>
          <w:rFonts w:cs="David" w:ascii="David" w:hAnsi="David"/>
          <w:sz w:val="24"/>
          <w:szCs w:val="24"/>
        </w:rPr>
        <w:t>1999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 אכן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בגיר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אשר נמצא בתחילת דרכו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וטרם נסללה פרשת חייו המקצועית והמשפחתית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שמוזכר בפסיקה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ההלכה היא בדבר החמרת הענישה בעבירות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כשמדובר בבגירים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שלשיקול זה יהא משקל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מכריע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שיקולי הרתעה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מקום להרתעה ממשית אישית מבחינת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נוכח התעוזה הגלומה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לכך שהנאשם התקשה להעמיק ולפרט את המניעים שהובילו אותו לבצע את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שממליץ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בנוסף יש לתת את הדעת לשיקול הרתעת הרבים בכל הקשור בשכיחות תופעת העבירות 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שכיחות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הירי מהגגות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ופסיקתו של בית משפט העליון לגבי הצורך בהחמרת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מתן משקל רב יותר לשיקולי ההרתעה במסגרת מכלול שיקולי הענישה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נסיבות אישיות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עיינתי במסמכים שהגיש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ובניהם תלושי השכר וגיליון ציונים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נא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בהמלצות ובאישורים השונים שהגיש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בדבר התנדבות הנאשם במסגרות שונות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נא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מהמסמכים עולה כי מדובר בנאשם נורמטיבי אשר גילה תפקוד תקין וסביר במהלך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מתנדב במספר ארגונים ופעיל במסגרות קהילתיות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עמדתי היא כי על העונש להיות ממוקם בחצי התחתון של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סיכום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0"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במתחם הענישה ההולם לעיל ולאחר שקילת ההיבטים לחומרה ולקולה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והואיל 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כקבוע </w:t>
      </w:r>
      <w:hyperlink r:id="rId4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651" w:leader="none"/>
        </w:tabs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תקופת מעצרו של הנאשם מיום </w:t>
      </w:r>
      <w:r>
        <w:rPr>
          <w:rFonts w:cs="David" w:ascii="David" w:hAnsi="David"/>
          <w:sz w:val="24"/>
          <w:szCs w:val="24"/>
        </w:rPr>
        <w:t>23.5.2020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יום </w:t>
      </w:r>
      <w:r>
        <w:rPr>
          <w:rFonts w:cs="David" w:ascii="David" w:hAnsi="David"/>
          <w:sz w:val="24"/>
          <w:szCs w:val="24"/>
        </w:rPr>
        <w:t>2.6.2020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ומיום </w:t>
      </w:r>
      <w:r>
        <w:rPr>
          <w:rFonts w:cs="David" w:ascii="David" w:hAnsi="David"/>
          <w:sz w:val="24"/>
          <w:szCs w:val="24"/>
        </w:rPr>
        <w:t>6.4.2021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היום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tabs>
          <w:tab w:val="clear" w:pos="720"/>
          <w:tab w:val="left" w:pos="651" w:leader="none"/>
        </w:tabs>
        <w:spacing w:lineRule="auto" w:line="360" w:before="0" w:after="120"/>
        <w:ind w:start="84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ירצה הנאשם אם יעבור תוך שלוש שנים אחת העבירות אשר בהן הורשע בתיק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ויורשע בגינה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ובאי כוח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start="504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-2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נאות פרי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arkisim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12035-06-20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אגבאריה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Style14">
    <w:name w:val="תתצצ תו"/>
    <w:qFormat/>
    <w:rPr>
      <w:rFonts w:ascii="Narkisim" w:hAnsi="Narkisim" w:cs="Narkisim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Style15">
    <w:name w:val="תתצצ"/>
    <w:basedOn w:val="Normal"/>
    <w:qFormat/>
    <w:pPr>
      <w:overflowPunct w:val="false"/>
      <w:autoSpaceDE w:val="false"/>
      <w:spacing w:before="0" w:after="120"/>
      <w:ind w:hanging="0" w:start="1440" w:end="1282"/>
      <w:jc w:val="both"/>
    </w:pPr>
    <w:rPr>
      <w:rFonts w:ascii="Narkisim" w:hAnsi="Narkisim" w:eastAsia="Calibri" w:cs="Narkisim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case/6248029" TargetMode="External"/><Relationship Id="rId12" Type="http://schemas.openxmlformats.org/officeDocument/2006/relationships/hyperlink" Target="http://www.nevo.co.il/case/25612982" TargetMode="External"/><Relationship Id="rId13" Type="http://schemas.openxmlformats.org/officeDocument/2006/relationships/hyperlink" Target="http://www.nevo.co.il/case/26888657" TargetMode="External"/><Relationship Id="rId14" Type="http://schemas.openxmlformats.org/officeDocument/2006/relationships/hyperlink" Target="http://www.nevo.co.il/case/6151556" TargetMode="External"/><Relationship Id="rId15" Type="http://schemas.openxmlformats.org/officeDocument/2006/relationships/hyperlink" Target="http://www.nevo.co.il/case/27087184" TargetMode="External"/><Relationship Id="rId16" Type="http://schemas.openxmlformats.org/officeDocument/2006/relationships/hyperlink" Target="http://www.nevo.co.il/case/25842649" TargetMode="External"/><Relationship Id="rId17" Type="http://schemas.openxmlformats.org/officeDocument/2006/relationships/hyperlink" Target="http://www.nevo.co.il/case/25586010" TargetMode="External"/><Relationship Id="rId18" Type="http://schemas.openxmlformats.org/officeDocument/2006/relationships/hyperlink" Target="http://www.nevo.co.il/case/26393738" TargetMode="External"/><Relationship Id="rId19" Type="http://schemas.openxmlformats.org/officeDocument/2006/relationships/hyperlink" Target="http://www.nevo.co.il/case/25612982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0529332" TargetMode="External"/><Relationship Id="rId22" Type="http://schemas.openxmlformats.org/officeDocument/2006/relationships/hyperlink" Target="http://www.nevo.co.il/case/6058757" TargetMode="External"/><Relationship Id="rId23" Type="http://schemas.openxmlformats.org/officeDocument/2006/relationships/hyperlink" Target="http://www.nevo.co.il/case/26492590" TargetMode="External"/><Relationship Id="rId24" Type="http://schemas.openxmlformats.org/officeDocument/2006/relationships/hyperlink" Target="http://www.nevo.co.il/case/26923758" TargetMode="External"/><Relationship Id="rId25" Type="http://schemas.openxmlformats.org/officeDocument/2006/relationships/hyperlink" Target="http://www.nevo.co.il/case/23509035" TargetMode="External"/><Relationship Id="rId26" Type="http://schemas.openxmlformats.org/officeDocument/2006/relationships/hyperlink" Target="http://www.nevo.co.il/case/21474168" TargetMode="External"/><Relationship Id="rId27" Type="http://schemas.openxmlformats.org/officeDocument/2006/relationships/hyperlink" Target="http://www.nevo.co.il/case/7697292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13015506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0a.b.1" TargetMode="External"/><Relationship Id="rId33" Type="http://schemas.openxmlformats.org/officeDocument/2006/relationships/hyperlink" Target="http://www.nevo.co.il/case/26986954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www.nevo.co.il/case/26538254" TargetMode="External"/><Relationship Id="rId36" Type="http://schemas.openxmlformats.org/officeDocument/2006/relationships/hyperlink" Target="http://www.nevo.co.il/case/27171364" TargetMode="External"/><Relationship Id="rId37" Type="http://schemas.openxmlformats.org/officeDocument/2006/relationships/hyperlink" Target="http://www.nevo.co.il/case/6072945" TargetMode="External"/><Relationship Id="rId38" Type="http://schemas.openxmlformats.org/officeDocument/2006/relationships/hyperlink" Target="http://www.nevo.co.il/case/2690592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7309272" TargetMode="External"/><Relationship Id="rId41" Type="http://schemas.openxmlformats.org/officeDocument/2006/relationships/hyperlink" Target="http://www.nevo.co.il/case/27171364" TargetMode="External"/><Relationship Id="rId42" Type="http://schemas.openxmlformats.org/officeDocument/2006/relationships/hyperlink" Target="http://www.nevo.co.il/case/25824863" TargetMode="External"/><Relationship Id="rId43" Type="http://schemas.openxmlformats.org/officeDocument/2006/relationships/hyperlink" Target="http://www.nevo.co.il/case/5568354" TargetMode="External"/><Relationship Id="rId44" Type="http://schemas.openxmlformats.org/officeDocument/2006/relationships/hyperlink" Target="http://www.nevo.co.il/case/26934681" TargetMode="External"/><Relationship Id="rId45" Type="http://schemas.openxmlformats.org/officeDocument/2006/relationships/hyperlink" Target="http://www.nevo.co.il/case/24263397" TargetMode="External"/><Relationship Id="rId46" Type="http://schemas.openxmlformats.org/officeDocument/2006/relationships/hyperlink" Target="http://www.nevo.co.il/law/70301/40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2022-02-23T11:26:00Z</dcterms:created>
  <dc:creator> </dc:creator>
  <dc:description/>
  <cp:keywords/>
  <dc:language>en-IL</dc:language>
  <cp:lastModifiedBy>h1</cp:lastModifiedBy>
  <dcterms:modified xsi:type="dcterms:W3CDTF">2022-02-23T11:26:00Z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אגבאריה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6248029;25612982:2;26888657:2;6151556;27087184;25842649;25586010;26393738;20529332;6058757;26492590;26923758;23509035;21474168;7697292;7791493;13015506;26986954;25824863:2;26538254;27171364:2;6072945;26905927;27309272;5568354;26934681;24263397</vt:lpwstr>
  </property>
  <property fmtid="{D5CDD505-2E9C-101B-9397-08002B2CF9AE}" pid="9" name="CITY">
    <vt:lpwstr>חי'</vt:lpwstr>
  </property>
  <property fmtid="{D5CDD505-2E9C-101B-9397-08002B2CF9AE}" pid="10" name="DATE">
    <vt:lpwstr>20210428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נאות פרי</vt:lpwstr>
  </property>
  <property fmtid="{D5CDD505-2E9C-101B-9397-08002B2CF9AE}" pid="14" name="LAWLISTTMP1">
    <vt:lpwstr>70301/144.a;144.b:2;340a.b.1:2;040b</vt:lpwstr>
  </property>
  <property fmtid="{D5CDD505-2E9C-101B-9397-08002B2CF9AE}" pid="15" name="LAWYER">
    <vt:lpwstr>עומר מסארוה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12035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390020210428</vt:lpwstr>
  </property>
  <property fmtid="{D5CDD505-2E9C-101B-9397-08002B2CF9AE}" pid="34" name="TYPE_N_DATE">
    <vt:lpwstr>39020210428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